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27" w:rsidRPr="00F50527" w:rsidRDefault="00F50527" w:rsidP="00F50527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5052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84DDDC" wp14:editId="72401570">
            <wp:simplePos x="0" y="0"/>
            <wp:positionH relativeFrom="column">
              <wp:posOffset>4389755</wp:posOffset>
            </wp:positionH>
            <wp:positionV relativeFrom="paragraph">
              <wp:posOffset>174625</wp:posOffset>
            </wp:positionV>
            <wp:extent cx="1033780" cy="10388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527">
        <w:rPr>
          <w:noProof/>
          <w:color w:val="0000FF"/>
          <w:lang w:eastAsia="ru-RU"/>
        </w:rPr>
        <w:drawing>
          <wp:inline distT="0" distB="0" distL="0" distR="0" wp14:anchorId="1F8365B2" wp14:editId="0EE128D2">
            <wp:extent cx="1081405" cy="1256030"/>
            <wp:effectExtent l="0" t="0" r="4445" b="1270"/>
            <wp:docPr id="6" name="Рисунок 6" descr="Ностро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стро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27">
        <w:t xml:space="preserve">                                                                                           </w:t>
      </w:r>
    </w:p>
    <w:p w:rsidR="00F50527" w:rsidRDefault="00F50527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0527" w:rsidRDefault="00F50527" w:rsidP="00F50527">
      <w:pPr>
        <w:tabs>
          <w:tab w:val="left" w:pos="167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0527" w:rsidRPr="005B622E" w:rsidRDefault="00F50527" w:rsidP="008A60E2">
      <w:pPr>
        <w:tabs>
          <w:tab w:val="left" w:pos="1671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>Мониторинг и оценка информационной открытости органов и организаций,  реализующих государственные (муниципальные) функции и (или) предоставляющих государственные (муниципальные) услуги при реализации проектов жилищного строительства</w:t>
      </w:r>
    </w:p>
    <w:p w:rsidR="00F50527" w:rsidRDefault="00F50527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1FC8" w:rsidRPr="00471FC8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1FC8">
        <w:rPr>
          <w:rFonts w:ascii="Times New Roman" w:hAnsi="Times New Roman"/>
          <w:sz w:val="28"/>
          <w:szCs w:val="28"/>
        </w:rPr>
        <w:t xml:space="preserve">Мониторинг информационной открытости проводился в период с февраля по июль 2012 года в 25 городах России, включая Москву и Санкт-Петербург.  В процессе мониторинга было исследовано более 150 интернет-сайтов органов,  предоставляющих государственные и муниципальные услуги в сфере регулирования жилищного строительства, а также электросетевых организаций и организаций, эксплуатирующих сети водоснабжения и водоотведения на предмет информационной открытости таких органов и организаций при взаимодействии с застройщиками. Поскольку в большом числе случаев информация, размещенная на сайтах исследуемых органов и организаций, менялась в течение непродолжительного периода времени, то информация каждого сайта анализировалась дважды. Итоговые значения индикаторов доступности, полноты и актуальности информации по параметрам, предусмотренным методикой, определялись на момент того обращения к сайту, когда значения таких индикаторов были максимальными.  </w:t>
      </w:r>
    </w:p>
    <w:p w:rsidR="00471FC8" w:rsidRPr="00B403A6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03A6">
        <w:rPr>
          <w:rFonts w:ascii="Times New Roman" w:hAnsi="Times New Roman"/>
          <w:sz w:val="28"/>
          <w:szCs w:val="28"/>
        </w:rPr>
        <w:t>По результатам мониторинга, в обследованных городах уровень информационной открытости органов и организаций, с которыми взаимодействует застройщик в процесс</w:t>
      </w:r>
      <w:r>
        <w:rPr>
          <w:rFonts w:ascii="Times New Roman" w:hAnsi="Times New Roman"/>
          <w:sz w:val="28"/>
          <w:szCs w:val="28"/>
        </w:rPr>
        <w:t>е</w:t>
      </w:r>
      <w:r w:rsidRPr="00B403A6">
        <w:rPr>
          <w:rFonts w:ascii="Times New Roman" w:hAnsi="Times New Roman"/>
          <w:sz w:val="28"/>
          <w:szCs w:val="28"/>
        </w:rPr>
        <w:t xml:space="preserve"> реализации проекта строительства </w:t>
      </w:r>
      <w:r w:rsidRPr="00B403A6">
        <w:rPr>
          <w:rFonts w:ascii="Times New Roman" w:hAnsi="Times New Roman"/>
          <w:sz w:val="28"/>
          <w:szCs w:val="28"/>
        </w:rPr>
        <w:lastRenderedPageBreak/>
        <w:t>многоквартирного дома</w:t>
      </w:r>
      <w:r>
        <w:rPr>
          <w:rFonts w:ascii="Times New Roman" w:hAnsi="Times New Roman"/>
          <w:sz w:val="28"/>
          <w:szCs w:val="28"/>
        </w:rPr>
        <w:t>,</w:t>
      </w:r>
      <w:r w:rsidRPr="00B40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крайне низким – в среднем он </w:t>
      </w:r>
      <w:r w:rsidRPr="005B622E">
        <w:rPr>
          <w:rFonts w:ascii="Times New Roman" w:hAnsi="Times New Roman"/>
          <w:sz w:val="28"/>
          <w:szCs w:val="28"/>
        </w:rPr>
        <w:t>составляет 32%</w:t>
      </w:r>
      <w:r w:rsidRPr="00B403A6">
        <w:rPr>
          <w:rFonts w:ascii="Times New Roman" w:hAnsi="Times New Roman"/>
          <w:sz w:val="28"/>
          <w:szCs w:val="28"/>
        </w:rPr>
        <w:t xml:space="preserve"> </w:t>
      </w:r>
      <w:r w:rsidRPr="005B622E">
        <w:rPr>
          <w:rFonts w:ascii="Times New Roman" w:hAnsi="Times New Roman"/>
          <w:sz w:val="28"/>
          <w:szCs w:val="28"/>
        </w:rPr>
        <w:t>от требуемого уровня.</w:t>
      </w:r>
    </w:p>
    <w:p w:rsidR="00471FC8" w:rsidRPr="00471FC8" w:rsidRDefault="00471FC8" w:rsidP="00471F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71FC8">
        <w:rPr>
          <w:rFonts w:ascii="Times New Roman" w:hAnsi="Times New Roman"/>
          <w:b/>
          <w:sz w:val="28"/>
          <w:szCs w:val="28"/>
        </w:rPr>
        <w:t xml:space="preserve">Рисунок </w:t>
      </w:r>
      <w:r w:rsidR="008A60E2">
        <w:rPr>
          <w:rFonts w:ascii="Times New Roman" w:hAnsi="Times New Roman"/>
          <w:b/>
          <w:sz w:val="28"/>
          <w:szCs w:val="28"/>
        </w:rPr>
        <w:t>1</w:t>
      </w:r>
      <w:r w:rsidRPr="00471FC8">
        <w:rPr>
          <w:rFonts w:ascii="Times New Roman" w:hAnsi="Times New Roman"/>
          <w:b/>
          <w:sz w:val="28"/>
          <w:szCs w:val="28"/>
        </w:rPr>
        <w:t>. Сводный индикатор информационной открытости в обследованных городах России</w:t>
      </w:r>
    </w:p>
    <w:p w:rsidR="00471FC8" w:rsidRPr="00471FC8" w:rsidRDefault="00471FC8" w:rsidP="00471F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71FC8">
        <w:rPr>
          <w:noProof/>
          <w:lang w:eastAsia="ru-RU"/>
        </w:rPr>
        <w:drawing>
          <wp:inline distT="0" distB="0" distL="0" distR="0" wp14:anchorId="251367A4" wp14:editId="747BCEC0">
            <wp:extent cx="5940425" cy="4456085"/>
            <wp:effectExtent l="0" t="0" r="2222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1FC8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1FC8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22E">
        <w:rPr>
          <w:rFonts w:ascii="Times New Roman" w:hAnsi="Times New Roman"/>
          <w:sz w:val="28"/>
          <w:szCs w:val="28"/>
        </w:rPr>
        <w:t xml:space="preserve">При этом уровень прозрачности общих условий регулирования, которые </w:t>
      </w:r>
      <w:r>
        <w:rPr>
          <w:rFonts w:ascii="Times New Roman" w:hAnsi="Times New Roman"/>
          <w:sz w:val="28"/>
          <w:szCs w:val="28"/>
        </w:rPr>
        <w:t xml:space="preserve">характеризуются наличием, полнотой и актуальностью </w:t>
      </w:r>
      <w:r w:rsidRPr="005B622E">
        <w:rPr>
          <w:rFonts w:ascii="Times New Roman" w:hAnsi="Times New Roman"/>
          <w:sz w:val="28"/>
          <w:szCs w:val="28"/>
        </w:rPr>
        <w:t xml:space="preserve">информации, содержащейся в генеральных планах, правилах землепользования и застройки, а также информации об общем перечне необходимых процедур при реализации проектов жилищного строительства, в среднем составляет 25%. Примерно в 1,5 раза выше оценивается уровень прозрачности условий прохождения конкретных административных процедур – в среднем 39% от необходимого уровня. </w:t>
      </w:r>
      <w:proofErr w:type="gramEnd"/>
    </w:p>
    <w:p w:rsidR="00471FC8" w:rsidRPr="00471FC8" w:rsidRDefault="00471FC8" w:rsidP="00471F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71FC8">
        <w:rPr>
          <w:rFonts w:ascii="Times New Roman" w:hAnsi="Times New Roman"/>
          <w:b/>
          <w:sz w:val="28"/>
          <w:szCs w:val="28"/>
        </w:rPr>
        <w:lastRenderedPageBreak/>
        <w:t xml:space="preserve">Рисунок </w:t>
      </w:r>
      <w:r w:rsidR="008A60E2">
        <w:rPr>
          <w:rFonts w:ascii="Times New Roman" w:hAnsi="Times New Roman"/>
          <w:b/>
          <w:sz w:val="28"/>
          <w:szCs w:val="28"/>
        </w:rPr>
        <w:t>2</w:t>
      </w:r>
      <w:r w:rsidRPr="00471FC8">
        <w:rPr>
          <w:rFonts w:ascii="Times New Roman" w:hAnsi="Times New Roman"/>
          <w:b/>
          <w:sz w:val="28"/>
          <w:szCs w:val="28"/>
        </w:rPr>
        <w:t>. Индикатор прозрачности общих условий регулирования и индикатор прозрачности условий прохождения административных процедур в обследованных городах</w:t>
      </w:r>
    </w:p>
    <w:p w:rsidR="00471FC8" w:rsidRPr="00471FC8" w:rsidRDefault="00471FC8" w:rsidP="00471F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1FC8">
        <w:rPr>
          <w:noProof/>
          <w:sz w:val="28"/>
          <w:szCs w:val="28"/>
          <w:lang w:eastAsia="ru-RU"/>
        </w:rPr>
        <w:drawing>
          <wp:inline distT="0" distB="0" distL="0" distR="0" wp14:anchorId="2E839669" wp14:editId="092DFBEF">
            <wp:extent cx="2743200" cy="4433978"/>
            <wp:effectExtent l="0" t="0" r="19050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71FC8">
        <w:rPr>
          <w:noProof/>
          <w:sz w:val="28"/>
          <w:szCs w:val="28"/>
          <w:lang w:eastAsia="ru-RU"/>
        </w:rPr>
        <w:drawing>
          <wp:inline distT="0" distB="0" distL="0" distR="0" wp14:anchorId="4426C5BB" wp14:editId="1E7C82D5">
            <wp:extent cx="2743200" cy="4442604"/>
            <wp:effectExtent l="0" t="0" r="1905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1FC8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B622E">
        <w:rPr>
          <w:rFonts w:ascii="Times New Roman" w:hAnsi="Times New Roman"/>
          <w:sz w:val="28"/>
          <w:szCs w:val="28"/>
        </w:rPr>
        <w:t xml:space="preserve"> городов имеют крайне низкий уровень информационной открытости – менее 25%. Среди таких городов Самара (15%), Краснодар (1</w:t>
      </w:r>
      <w:r>
        <w:rPr>
          <w:rFonts w:ascii="Times New Roman" w:hAnsi="Times New Roman"/>
          <w:sz w:val="28"/>
          <w:szCs w:val="28"/>
        </w:rPr>
        <w:t>6</w:t>
      </w:r>
      <w:r w:rsidRPr="005B622E">
        <w:rPr>
          <w:rFonts w:ascii="Times New Roman" w:hAnsi="Times New Roman"/>
          <w:sz w:val="28"/>
          <w:szCs w:val="28"/>
        </w:rPr>
        <w:t xml:space="preserve">%), Ростов-на-Дону (19%) </w:t>
      </w:r>
      <w:r>
        <w:rPr>
          <w:rFonts w:ascii="Times New Roman" w:hAnsi="Times New Roman"/>
          <w:sz w:val="28"/>
          <w:szCs w:val="28"/>
        </w:rPr>
        <w:t xml:space="preserve">и др. (см. рис. </w:t>
      </w:r>
      <w:r w:rsidR="008A60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A60E2">
        <w:rPr>
          <w:rFonts w:ascii="Times New Roman" w:hAnsi="Times New Roman"/>
          <w:sz w:val="28"/>
          <w:szCs w:val="28"/>
        </w:rPr>
        <w:t>2</w:t>
      </w:r>
      <w:r w:rsidRPr="005B622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5B622E">
        <w:rPr>
          <w:rFonts w:ascii="Times New Roman" w:hAnsi="Times New Roman"/>
          <w:sz w:val="28"/>
          <w:szCs w:val="28"/>
        </w:rPr>
        <w:t xml:space="preserve"> </w:t>
      </w: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>В 1</w:t>
      </w:r>
      <w:r>
        <w:rPr>
          <w:rFonts w:ascii="Times New Roman" w:hAnsi="Times New Roman"/>
          <w:sz w:val="28"/>
          <w:szCs w:val="28"/>
        </w:rPr>
        <w:t>7</w:t>
      </w:r>
      <w:r w:rsidRPr="005B622E">
        <w:rPr>
          <w:rFonts w:ascii="Times New Roman" w:hAnsi="Times New Roman"/>
          <w:sz w:val="28"/>
          <w:szCs w:val="28"/>
        </w:rPr>
        <w:t xml:space="preserve"> городах из 25 такой уровень оценивается в пределах от 25% до 50%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22E">
        <w:rPr>
          <w:rFonts w:ascii="Times New Roman" w:hAnsi="Times New Roman"/>
          <w:sz w:val="28"/>
          <w:szCs w:val="28"/>
        </w:rPr>
        <w:t>например, Калуга (3</w:t>
      </w:r>
      <w:r>
        <w:rPr>
          <w:rFonts w:ascii="Times New Roman" w:hAnsi="Times New Roman"/>
          <w:sz w:val="28"/>
          <w:szCs w:val="28"/>
        </w:rPr>
        <w:t>1</w:t>
      </w:r>
      <w:r w:rsidRPr="005B622E">
        <w:rPr>
          <w:rFonts w:ascii="Times New Roman" w:hAnsi="Times New Roman"/>
          <w:sz w:val="28"/>
          <w:szCs w:val="28"/>
        </w:rPr>
        <w:t>%), Калинингра</w:t>
      </w:r>
      <w:r>
        <w:rPr>
          <w:rFonts w:ascii="Times New Roman" w:hAnsi="Times New Roman"/>
          <w:sz w:val="28"/>
          <w:szCs w:val="28"/>
        </w:rPr>
        <w:t xml:space="preserve">д (35%), </w:t>
      </w:r>
      <w:r w:rsidRPr="005B622E">
        <w:rPr>
          <w:rFonts w:ascii="Times New Roman" w:hAnsi="Times New Roman"/>
          <w:sz w:val="28"/>
          <w:szCs w:val="28"/>
        </w:rPr>
        <w:t>Москва (</w:t>
      </w:r>
      <w:r>
        <w:rPr>
          <w:rFonts w:ascii="Times New Roman" w:hAnsi="Times New Roman"/>
          <w:sz w:val="28"/>
          <w:szCs w:val="28"/>
        </w:rPr>
        <w:t>39</w:t>
      </w:r>
      <w:r w:rsidRPr="005B622E">
        <w:rPr>
          <w:rFonts w:ascii="Times New Roman" w:hAnsi="Times New Roman"/>
          <w:sz w:val="28"/>
          <w:szCs w:val="28"/>
        </w:rPr>
        <w:t>%).  Только в двух городах он превышает 50% – Санкт-Петербург (56%) и   Пермь  (6</w:t>
      </w:r>
      <w:r>
        <w:rPr>
          <w:rFonts w:ascii="Times New Roman" w:hAnsi="Times New Roman"/>
          <w:sz w:val="28"/>
          <w:szCs w:val="28"/>
        </w:rPr>
        <w:t>8</w:t>
      </w:r>
      <w:r w:rsidRPr="005B622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471FC8" w:rsidRPr="00B403A6" w:rsidRDefault="00471FC8" w:rsidP="00471FC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 xml:space="preserve">В среднем наибольшей информационной открытостью при предоставлении услуг в сфере регулирования жилищного строительства характеризуются органы местного самоуправления – в среднем в исследуемых городах </w:t>
      </w:r>
      <w:r>
        <w:rPr>
          <w:rFonts w:ascii="Times New Roman" w:hAnsi="Times New Roman"/>
          <w:sz w:val="28"/>
          <w:szCs w:val="28"/>
        </w:rPr>
        <w:t>50</w:t>
      </w:r>
      <w:r w:rsidRPr="005B622E">
        <w:rPr>
          <w:rFonts w:ascii="Times New Roman" w:hAnsi="Times New Roman"/>
          <w:sz w:val="28"/>
          <w:szCs w:val="28"/>
        </w:rPr>
        <w:t xml:space="preserve">% от требуемого уровня открытости. </w:t>
      </w:r>
    </w:p>
    <w:p w:rsidR="00471FC8" w:rsidRDefault="00471FC8" w:rsidP="00471FC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9E7104">
        <w:rPr>
          <w:rFonts w:ascii="Times New Roman" w:hAnsi="Times New Roman"/>
          <w:sz w:val="28"/>
          <w:szCs w:val="28"/>
        </w:rPr>
        <w:t xml:space="preserve">аиболее прозрачными </w:t>
      </w:r>
      <w:r>
        <w:rPr>
          <w:rFonts w:ascii="Times New Roman" w:hAnsi="Times New Roman"/>
          <w:sz w:val="28"/>
          <w:szCs w:val="28"/>
        </w:rPr>
        <w:t xml:space="preserve">для застройщиков </w:t>
      </w:r>
      <w:r w:rsidRPr="009E7104">
        <w:rPr>
          <w:rFonts w:ascii="Times New Roman" w:hAnsi="Times New Roman"/>
          <w:sz w:val="28"/>
          <w:szCs w:val="28"/>
        </w:rPr>
        <w:t>являются</w:t>
      </w:r>
      <w:r w:rsidRPr="005B622E">
        <w:rPr>
          <w:rFonts w:ascii="Times New Roman" w:hAnsi="Times New Roman"/>
          <w:sz w:val="28"/>
          <w:szCs w:val="28"/>
        </w:rPr>
        <w:t xml:space="preserve"> процессы получения разрешения на строительство и разрешения на ввод объекта в эксплуатацию, информация </w:t>
      </w:r>
      <w:proofErr w:type="gramStart"/>
      <w:r w:rsidRPr="005B622E">
        <w:rPr>
          <w:rFonts w:ascii="Times New Roman" w:hAnsi="Times New Roman"/>
          <w:sz w:val="28"/>
          <w:szCs w:val="28"/>
        </w:rPr>
        <w:t>о</w:t>
      </w:r>
      <w:proofErr w:type="gramEnd"/>
      <w:r w:rsidRPr="005B622E">
        <w:rPr>
          <w:rFonts w:ascii="Times New Roman" w:hAnsi="Times New Roman"/>
          <w:sz w:val="28"/>
          <w:szCs w:val="28"/>
        </w:rPr>
        <w:t xml:space="preserve"> которых соответствует предъявляемым требованиям, соответственно, на 5</w:t>
      </w:r>
      <w:r>
        <w:rPr>
          <w:rFonts w:ascii="Times New Roman" w:hAnsi="Times New Roman"/>
          <w:sz w:val="28"/>
          <w:szCs w:val="28"/>
        </w:rPr>
        <w:t>4</w:t>
      </w:r>
      <w:r w:rsidRPr="005B622E">
        <w:rPr>
          <w:rFonts w:ascii="Times New Roman" w:hAnsi="Times New Roman"/>
          <w:sz w:val="28"/>
          <w:szCs w:val="28"/>
        </w:rPr>
        <w:t>% и 53%.</w:t>
      </w:r>
    </w:p>
    <w:p w:rsidR="00471FC8" w:rsidRDefault="00471FC8" w:rsidP="00471FC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 xml:space="preserve">Федеральные органы, представленные </w:t>
      </w:r>
      <w:proofErr w:type="spellStart"/>
      <w:r w:rsidRPr="005B622E">
        <w:rPr>
          <w:rFonts w:ascii="Times New Roman" w:hAnsi="Times New Roman"/>
          <w:sz w:val="28"/>
          <w:szCs w:val="28"/>
        </w:rPr>
        <w:t>Росреестром</w:t>
      </w:r>
      <w:proofErr w:type="spellEnd"/>
      <w:r w:rsidRPr="005B622E">
        <w:rPr>
          <w:rFonts w:ascii="Times New Roman" w:hAnsi="Times New Roman"/>
          <w:sz w:val="28"/>
          <w:szCs w:val="28"/>
        </w:rPr>
        <w:t>, а также органы исполнительной власти субъектов федерации</w:t>
      </w:r>
      <w:r>
        <w:rPr>
          <w:rFonts w:ascii="Times New Roman" w:hAnsi="Times New Roman"/>
          <w:sz w:val="28"/>
          <w:szCs w:val="28"/>
        </w:rPr>
        <w:t>, предоставляющие услуги по государственной экспертизе</w:t>
      </w:r>
      <w:r w:rsidRPr="005B6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проектной документации, и осуществляющие функцию государственного строительного надзора, </w:t>
      </w:r>
      <w:r w:rsidRPr="005B622E">
        <w:rPr>
          <w:rFonts w:ascii="Times New Roman" w:hAnsi="Times New Roman"/>
          <w:sz w:val="28"/>
          <w:szCs w:val="28"/>
        </w:rPr>
        <w:t xml:space="preserve">имеют примерно одинаковый уровень информационной открытости – соответственно 41% и 40%. </w:t>
      </w:r>
    </w:p>
    <w:p w:rsidR="00471FC8" w:rsidRPr="00471FC8" w:rsidRDefault="00471FC8" w:rsidP="00471FC8">
      <w:pPr>
        <w:tabs>
          <w:tab w:val="left" w:pos="1358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71FC8">
        <w:rPr>
          <w:rFonts w:ascii="Times New Roman" w:hAnsi="Times New Roman"/>
          <w:b/>
          <w:sz w:val="28"/>
          <w:szCs w:val="28"/>
        </w:rPr>
        <w:t xml:space="preserve">Рисунок </w:t>
      </w:r>
      <w:r w:rsidR="008A60E2">
        <w:rPr>
          <w:rFonts w:ascii="Times New Roman" w:hAnsi="Times New Roman"/>
          <w:b/>
          <w:sz w:val="28"/>
          <w:szCs w:val="28"/>
        </w:rPr>
        <w:t>3</w:t>
      </w:r>
      <w:r w:rsidRPr="00471FC8">
        <w:rPr>
          <w:rFonts w:ascii="Times New Roman" w:hAnsi="Times New Roman"/>
          <w:b/>
          <w:sz w:val="28"/>
          <w:szCs w:val="28"/>
        </w:rPr>
        <w:t>. Среднее, минимальное и максимальное значение индикаторов информационной открытости регулирующих органов и организаций в обследованных городах</w:t>
      </w:r>
    </w:p>
    <w:p w:rsidR="00471FC8" w:rsidRPr="00471FC8" w:rsidRDefault="00471FC8" w:rsidP="00471FC8">
      <w:pPr>
        <w:tabs>
          <w:tab w:val="left" w:pos="1358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71FC8">
        <w:rPr>
          <w:noProof/>
          <w:sz w:val="28"/>
          <w:szCs w:val="28"/>
          <w:lang w:eastAsia="ru-RU"/>
        </w:rPr>
        <w:drawing>
          <wp:inline distT="0" distB="0" distL="0" distR="0" wp14:anchorId="75470C35" wp14:editId="41AC3DDF">
            <wp:extent cx="5822830" cy="2743200"/>
            <wp:effectExtent l="0" t="0" r="2603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71FC8" w:rsidRPr="005B622E" w:rsidRDefault="00471FC8" w:rsidP="00471FC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22E">
        <w:rPr>
          <w:rFonts w:ascii="Times New Roman" w:hAnsi="Times New Roman"/>
          <w:sz w:val="28"/>
          <w:szCs w:val="28"/>
        </w:rPr>
        <w:t xml:space="preserve">Наименее открытыми при организации процедур для застройщиков являются электросетевые организации и организации, эксплуатирующие сети водоснабжения и водоотведения, - в среднем информация об услугах подключения к сетям и выдачи технических условий удовлетворяет предъявляемым требованиям лишь на 29%. Наименее прозрачным является процесс подключения объекта капитального строительства к коммунальным сетям в Кемерово (в среднем 2%), а наиболее прозрачным – в Великом </w:t>
      </w:r>
      <w:r w:rsidRPr="005B622E">
        <w:rPr>
          <w:rFonts w:ascii="Times New Roman" w:hAnsi="Times New Roman"/>
          <w:sz w:val="28"/>
          <w:szCs w:val="28"/>
        </w:rPr>
        <w:lastRenderedPageBreak/>
        <w:t>Новгороде (в среднем 56</w:t>
      </w:r>
      <w:proofErr w:type="gramEnd"/>
      <w:r w:rsidRPr="005B622E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При этом процесс подключения к сетям водоснабжения и водоотведения является значительно менее открытым, чем процесс присоединения к электрическим сетям. </w:t>
      </w: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>Несмотря на то, что инфо</w:t>
      </w:r>
      <w:r>
        <w:rPr>
          <w:rFonts w:ascii="Times New Roman" w:hAnsi="Times New Roman"/>
          <w:sz w:val="28"/>
          <w:szCs w:val="28"/>
        </w:rPr>
        <w:t>рмация о генеральном плане и правилах землепользования и застройки</w:t>
      </w:r>
      <w:r w:rsidRPr="005B622E">
        <w:rPr>
          <w:rFonts w:ascii="Times New Roman" w:hAnsi="Times New Roman"/>
          <w:sz w:val="28"/>
          <w:szCs w:val="28"/>
        </w:rPr>
        <w:t xml:space="preserve"> доступна в большинстве обследованных городов, она часто бывает неполной или неактуальной. Только в 8 городах размещена актуальная версия правил землепользования и застройки (с учетом всех последних изменений, содержащихся в системе «Гарант» на дату оценки соответствующей  информации). Актуальные генеральные планы встречаются значительно чаще – в 15 городах. В остальных случаях сайты администраций городов содержат, как правило, генеральные планы и ПЗЗ, утратившие силу более 6 месяцев назад. </w:t>
      </w:r>
    </w:p>
    <w:p w:rsidR="008A60E2" w:rsidRPr="00D16643" w:rsidRDefault="008A60E2" w:rsidP="008A60E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6643">
        <w:rPr>
          <w:rFonts w:ascii="Times New Roman" w:hAnsi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/>
          <w:b/>
          <w:sz w:val="28"/>
          <w:szCs w:val="28"/>
        </w:rPr>
        <w:t>4</w:t>
      </w:r>
      <w:r w:rsidRPr="00D1664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Доступность информации об общих условиях регулирования жилищного строительства в обследованных городах </w:t>
      </w:r>
    </w:p>
    <w:p w:rsidR="008A60E2" w:rsidRPr="005B622E" w:rsidRDefault="008A60E2" w:rsidP="008A60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709BEC" wp14:editId="0F1A6156">
            <wp:extent cx="6039293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71FC8" w:rsidRDefault="00471FC8" w:rsidP="00471F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FC8" w:rsidRDefault="00471FC8" w:rsidP="00471FC8">
      <w:pPr>
        <w:spacing w:after="0" w:line="360" w:lineRule="auto"/>
        <w:ind w:firstLine="709"/>
        <w:jc w:val="both"/>
      </w:pPr>
      <w:r w:rsidRPr="005B622E">
        <w:rPr>
          <w:rFonts w:ascii="Times New Roman" w:hAnsi="Times New Roman"/>
          <w:sz w:val="28"/>
          <w:szCs w:val="28"/>
        </w:rPr>
        <w:t xml:space="preserve">Единственным из обследованных городов городом, в котором застройщики  имеют доступ к информации об общем перечне необходимых процедур при реализации инвестиционно-строительных  проектов, является Пермь.  </w:t>
      </w:r>
      <w:r>
        <w:rPr>
          <w:rFonts w:ascii="Times New Roman" w:hAnsi="Times New Roman"/>
          <w:sz w:val="28"/>
          <w:szCs w:val="28"/>
        </w:rPr>
        <w:t xml:space="preserve">Интернет-сервис </w:t>
      </w:r>
      <w:r w:rsidRPr="005B622E">
        <w:rPr>
          <w:rFonts w:ascii="Times New Roman" w:hAnsi="Times New Roman"/>
          <w:sz w:val="28"/>
          <w:szCs w:val="28"/>
        </w:rPr>
        <w:t xml:space="preserve">«Алгоритм административных процедур для бизнеса» позволяет получить информацию о прохождении </w:t>
      </w:r>
      <w:r w:rsidRPr="005B622E">
        <w:rPr>
          <w:rFonts w:ascii="Times New Roman" w:hAnsi="Times New Roman"/>
          <w:sz w:val="28"/>
          <w:szCs w:val="28"/>
        </w:rPr>
        <w:lastRenderedPageBreak/>
        <w:t>административных процедур (необходимые документы, срок, стоимость, адрес) на всех этапах реализации  инвестиционно-строительного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>Информация о перечне необходимых докуме</w:t>
      </w:r>
      <w:r>
        <w:rPr>
          <w:rFonts w:ascii="Times New Roman" w:hAnsi="Times New Roman"/>
          <w:sz w:val="28"/>
          <w:szCs w:val="28"/>
        </w:rPr>
        <w:t xml:space="preserve">нтов, адресе, сроке и стоимости </w:t>
      </w:r>
      <w:r w:rsidRPr="005B622E">
        <w:rPr>
          <w:rFonts w:ascii="Times New Roman" w:hAnsi="Times New Roman"/>
          <w:sz w:val="28"/>
          <w:szCs w:val="28"/>
        </w:rPr>
        <w:t>получения итоговых документов в процессе прохождения административных процедур доступна в большинстве городов. Наиболее доступной является информация об адресе, по которому необходимо подать документы</w:t>
      </w:r>
      <w:r>
        <w:rPr>
          <w:rFonts w:ascii="Times New Roman" w:hAnsi="Times New Roman"/>
          <w:sz w:val="28"/>
          <w:szCs w:val="28"/>
        </w:rPr>
        <w:t>. Однако эта информация в подавляющем большинстве случаев является неполной.</w:t>
      </w:r>
      <w:r w:rsidRPr="006B17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622E">
        <w:rPr>
          <w:rFonts w:ascii="Times New Roman" w:hAnsi="Times New Roman"/>
          <w:sz w:val="28"/>
          <w:szCs w:val="28"/>
        </w:rPr>
        <w:t xml:space="preserve">Не выявлено ни одного случая (ни одной процедуры, ни в одном из обследованных городов), когда по каждому документу из перечня необходимых документов была бы представлена информация о порядке его получения либо дана ссылка на такую информацию, за исключением процедуры получения </w:t>
      </w:r>
      <w:r>
        <w:rPr>
          <w:rFonts w:ascii="Times New Roman" w:hAnsi="Times New Roman"/>
          <w:sz w:val="28"/>
          <w:szCs w:val="28"/>
        </w:rPr>
        <w:t xml:space="preserve">ГПЗУ и получения </w:t>
      </w:r>
      <w:r w:rsidRPr="005B622E">
        <w:rPr>
          <w:rFonts w:ascii="Times New Roman" w:hAnsi="Times New Roman"/>
          <w:sz w:val="28"/>
          <w:szCs w:val="28"/>
        </w:rPr>
        <w:t>заключения органа государственного строительного надзора, для которого в ряде случаев требуется только заявление установленного образца.</w:t>
      </w:r>
      <w:proofErr w:type="gramEnd"/>
    </w:p>
    <w:p w:rsidR="008A60E2" w:rsidRPr="005B622E" w:rsidRDefault="008A60E2" w:rsidP="008A60E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7104">
        <w:rPr>
          <w:rFonts w:ascii="Times New Roman" w:hAnsi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/>
          <w:b/>
          <w:sz w:val="28"/>
          <w:szCs w:val="28"/>
        </w:rPr>
        <w:t>5</w:t>
      </w:r>
      <w:r w:rsidRPr="009E7104">
        <w:rPr>
          <w:rFonts w:ascii="Times New Roman" w:hAnsi="Times New Roman"/>
          <w:b/>
          <w:sz w:val="28"/>
          <w:szCs w:val="28"/>
        </w:rPr>
        <w:t>. Среднее, минимальное и максимальное значение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индикаторов прозрачности условий прохождения отдельных групп административных процедур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обследованных городах</w:t>
      </w:r>
    </w:p>
    <w:p w:rsidR="008A60E2" w:rsidRPr="005B622E" w:rsidRDefault="008A60E2" w:rsidP="008A60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22E">
        <w:rPr>
          <w:noProof/>
          <w:sz w:val="28"/>
          <w:szCs w:val="28"/>
          <w:lang w:eastAsia="ru-RU"/>
        </w:rPr>
        <w:drawing>
          <wp:inline distT="0" distB="0" distL="0" distR="0" wp14:anchorId="1A5542B0" wp14:editId="53EC0912">
            <wp:extent cx="5943600" cy="34480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A60E2" w:rsidRPr="005B622E" w:rsidRDefault="008A60E2" w:rsidP="008A60E2">
      <w:pPr>
        <w:spacing w:after="0" w:line="360" w:lineRule="auto"/>
        <w:ind w:hanging="1134"/>
        <w:jc w:val="both"/>
        <w:rPr>
          <w:rFonts w:ascii="Times New Roman" w:hAnsi="Times New Roman"/>
          <w:sz w:val="28"/>
          <w:szCs w:val="28"/>
        </w:rPr>
      </w:pPr>
    </w:p>
    <w:p w:rsidR="008A60E2" w:rsidRPr="005B622E" w:rsidRDefault="008A60E2" w:rsidP="008A60E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B622E">
        <w:rPr>
          <w:rFonts w:ascii="Times New Roman" w:hAnsi="Times New Roman"/>
          <w:b/>
          <w:sz w:val="28"/>
          <w:szCs w:val="28"/>
        </w:rPr>
        <w:lastRenderedPageBreak/>
        <w:t xml:space="preserve">Рисунок </w:t>
      </w:r>
      <w:r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 Средняя доступность информации об условиях прохождения административных процедур в обследованных городах</w:t>
      </w:r>
    </w:p>
    <w:p w:rsidR="008A60E2" w:rsidRPr="005B622E" w:rsidRDefault="008A60E2" w:rsidP="008A60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22E">
        <w:rPr>
          <w:noProof/>
          <w:sz w:val="28"/>
          <w:szCs w:val="28"/>
          <w:lang w:eastAsia="ru-RU"/>
        </w:rPr>
        <w:drawing>
          <wp:inline distT="0" distB="0" distL="0" distR="0" wp14:anchorId="2124CBB0" wp14:editId="1BA6D1BE">
            <wp:extent cx="5963479" cy="2743200"/>
            <wp:effectExtent l="0" t="0" r="1841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 xml:space="preserve">Максимально закрытой для застройщиков является информация о стоимости прохождения </w:t>
      </w:r>
      <w:r w:rsidRPr="005B622E">
        <w:rPr>
          <w:rFonts w:ascii="Times New Roman" w:hAnsi="Times New Roman"/>
          <w:b/>
          <w:i/>
          <w:sz w:val="28"/>
          <w:szCs w:val="28"/>
        </w:rPr>
        <w:t>платных</w:t>
      </w:r>
      <w:r w:rsidRPr="005B622E">
        <w:rPr>
          <w:rFonts w:ascii="Times New Roman" w:hAnsi="Times New Roman"/>
          <w:sz w:val="28"/>
          <w:szCs w:val="28"/>
        </w:rPr>
        <w:t xml:space="preserve"> административных процедур. Информация о стоимости получения технических условий и заключения договора на подключение к сетям водоснабжения и водоотведения доступна лишь в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5B622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B622E">
        <w:rPr>
          <w:rFonts w:ascii="Times New Roman" w:hAnsi="Times New Roman"/>
          <w:sz w:val="28"/>
          <w:szCs w:val="28"/>
        </w:rPr>
        <w:t xml:space="preserve"> городах, соответственно. Значительно более доступной является соответствующая информация относительно электрических сетей, которая доступна в </w:t>
      </w:r>
      <w:r>
        <w:rPr>
          <w:rFonts w:ascii="Times New Roman" w:hAnsi="Times New Roman"/>
          <w:sz w:val="28"/>
          <w:szCs w:val="28"/>
        </w:rPr>
        <w:t>12</w:t>
      </w:r>
      <w:r w:rsidRPr="005B622E">
        <w:rPr>
          <w:rFonts w:ascii="Times New Roman" w:hAnsi="Times New Roman"/>
          <w:sz w:val="28"/>
          <w:szCs w:val="28"/>
        </w:rPr>
        <w:t xml:space="preserve"> городах в отношении технических условий и в </w:t>
      </w:r>
      <w:r>
        <w:rPr>
          <w:rFonts w:ascii="Times New Roman" w:hAnsi="Times New Roman"/>
          <w:sz w:val="28"/>
          <w:szCs w:val="28"/>
        </w:rPr>
        <w:t>22</w:t>
      </w:r>
      <w:r w:rsidRPr="005B622E">
        <w:rPr>
          <w:rFonts w:ascii="Times New Roman" w:hAnsi="Times New Roman"/>
          <w:sz w:val="28"/>
          <w:szCs w:val="28"/>
        </w:rPr>
        <w:t xml:space="preserve"> городах в отношении платы за технологическое присоединение. </w:t>
      </w:r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22E">
        <w:rPr>
          <w:rFonts w:ascii="Times New Roman" w:hAnsi="Times New Roman"/>
          <w:sz w:val="28"/>
          <w:szCs w:val="28"/>
        </w:rPr>
        <w:t>По результатам мониторинга выявлена лишь одна процедура в одном городе, а именно, получение технических условий на подключение к сетям водоснабжения и водоотведения в Санкт-Петербурге, для которой существует возможность прохождения в электронной форме.</w:t>
      </w:r>
      <w:proofErr w:type="gramEnd"/>
      <w:r w:rsidRPr="005B622E">
        <w:rPr>
          <w:rFonts w:ascii="Times New Roman" w:hAnsi="Times New Roman"/>
          <w:sz w:val="28"/>
          <w:szCs w:val="28"/>
        </w:rPr>
        <w:t xml:space="preserve"> Таким образом, можно сделать вывод о том, что в настоящее время возможности ускорения и удешевления административного процесса в жилищном строительстве, представленные переходом на электронную форму, не используются за исключением единственного выявленного случая. </w:t>
      </w:r>
      <w:proofErr w:type="gramStart"/>
      <w:r w:rsidRPr="005B622E">
        <w:rPr>
          <w:rFonts w:ascii="Times New Roman" w:hAnsi="Times New Roman"/>
          <w:sz w:val="28"/>
          <w:szCs w:val="28"/>
        </w:rPr>
        <w:t xml:space="preserve">При этом в административных регламентах, а также на сайтах органов и организаций, оказывающих соответствующие услуги, делается ссылка на возможность </w:t>
      </w:r>
      <w:r w:rsidRPr="005B622E">
        <w:rPr>
          <w:rFonts w:ascii="Times New Roman" w:hAnsi="Times New Roman"/>
          <w:sz w:val="28"/>
          <w:szCs w:val="28"/>
        </w:rPr>
        <w:lastRenderedPageBreak/>
        <w:t xml:space="preserve">прохождения процедуры в электронной форме на портале </w:t>
      </w:r>
      <w:hyperlink r:id="rId18" w:history="1">
        <w:r w:rsidRPr="005B622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5B622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B622E">
          <w:rPr>
            <w:rStyle w:val="a4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5B622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B622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B622E">
        <w:rPr>
          <w:rFonts w:ascii="Times New Roman" w:hAnsi="Times New Roman"/>
          <w:sz w:val="28"/>
          <w:szCs w:val="28"/>
        </w:rPr>
        <w:t xml:space="preserve"> либо на портале органа исполнительной власти субъекта федерации, которая не подтверждается при переходе по указанным ссылкам – информация либо отсутствует вовсе, либо имеет исключительно справочный характер. </w:t>
      </w:r>
      <w:proofErr w:type="gramEnd"/>
    </w:p>
    <w:p w:rsidR="00471FC8" w:rsidRPr="005B622E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22E">
        <w:rPr>
          <w:rFonts w:ascii="Times New Roman" w:hAnsi="Times New Roman"/>
          <w:sz w:val="28"/>
          <w:szCs w:val="28"/>
        </w:rPr>
        <w:t xml:space="preserve">Тем не менее, по отдельным процедурам выявлена тенденция к постепенному переходу к электронной форме. Первым этапом такого перехода является предоставление возможности заявителю подать документы в электронной форме. Такая возможность сегодня предоставляется </w:t>
      </w:r>
      <w:proofErr w:type="spellStart"/>
      <w:r w:rsidRPr="005B622E">
        <w:rPr>
          <w:rFonts w:ascii="Times New Roman" w:hAnsi="Times New Roman"/>
          <w:sz w:val="28"/>
          <w:szCs w:val="28"/>
        </w:rPr>
        <w:t>Росреестром</w:t>
      </w:r>
      <w:proofErr w:type="spellEnd"/>
      <w:r w:rsidRPr="005B622E">
        <w:rPr>
          <w:rFonts w:ascii="Times New Roman" w:hAnsi="Times New Roman"/>
          <w:sz w:val="28"/>
          <w:szCs w:val="28"/>
        </w:rPr>
        <w:t xml:space="preserve"> при прохождении процедуры государственной регистрации прав на недвижимое имущество. В отдельных городах встречается подобная услуга в отношении подачи документов на государственную экспертизу проектной документации. По остальным процедурам такая возможность отсутствует.</w:t>
      </w:r>
    </w:p>
    <w:p w:rsidR="00471FC8" w:rsidRDefault="00471FC8" w:rsidP="00471F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среди всех органов и организаций, с которыми взаимодействуют застройщики при реализации инвестиционно-строительных проектов, 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демонстрирует наиболее интенсивный переход к электронному взаимодействию с заявителями, что, безусловно, повышает эффективность такого взаимодействия, существенно ускоряя процесс. </w:t>
      </w:r>
    </w:p>
    <w:p w:rsidR="00471FC8" w:rsidRDefault="00471FC8" w:rsidP="00471F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C1F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>мониторинга помимо низкого уровня прозрачности условий прохождения административных процедур были выявлены факты открытия информации о прямо противозаконных требованиях при предоставлении документов для получения градостроительного плана земельного участка, разрешения на строительство и на ввод объекта в эксплуатацию, а также для получения заключения  органа государственного строительного надзора. Таким образом, при мониторинге административных барьеров в жилищном строительстве кроме опроса застройщиков и других участников рынка целесообразно также использовать метод анализа интернет-сайтов, который также позволяет получить информацию о дополнительных административных процедурах, установленных на местном и региональном уровне.</w:t>
      </w:r>
    </w:p>
    <w:p w:rsidR="00471FC8" w:rsidRDefault="00471FC8" w:rsidP="00471F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мониторинга позволяют сделать  следующие основные выводы о влиянии информационной открытости регулирующих органов и организаций, включая электросетевые компании и организации коммунального комплекса, на уровень административных барьеров в жилищном строительстве:</w:t>
      </w:r>
    </w:p>
    <w:p w:rsidR="00471FC8" w:rsidRDefault="00471FC8" w:rsidP="00471F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прозрачности условий регулирования и условий прохождения административных процедур способствует созданию избыточных административных барьеров;</w:t>
      </w:r>
    </w:p>
    <w:p w:rsidR="00471FC8" w:rsidRDefault="00471FC8" w:rsidP="00471F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причиной создания избыточных административных барьеров является не только «непрозрачность» процесса регулирования, которая способствует их созданию, но и некоторые более фундаментальные причины, заставляющие открыто устанавливать противозаконные процедуры. С одной стороны это говорит о несовершенстве правоохранительной системы, которая  должна такие факты выявлять, с другой стороны </w:t>
      </w:r>
      <w:proofErr w:type="gramStart"/>
      <w:r>
        <w:rPr>
          <w:rFonts w:ascii="Times New Roman" w:hAnsi="Times New Roman"/>
          <w:sz w:val="28"/>
          <w:szCs w:val="28"/>
        </w:rPr>
        <w:t>–о</w:t>
      </w:r>
      <w:proofErr w:type="gramEnd"/>
      <w:r>
        <w:rPr>
          <w:rFonts w:ascii="Times New Roman" w:hAnsi="Times New Roman"/>
          <w:sz w:val="28"/>
          <w:szCs w:val="28"/>
        </w:rPr>
        <w:t xml:space="preserve"> неполноте федерального законодательства о градостроительной деятельности, которая создает условия для возникновения некоторых избыточных административных процедур в жилищном строительстве. </w:t>
      </w:r>
    </w:p>
    <w:p w:rsidR="008A60E2" w:rsidRDefault="008A60E2" w:rsidP="008A60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A60E2" w:rsidSect="00C839C9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0E2" w:rsidRPr="008A60E2" w:rsidRDefault="008A60E2" w:rsidP="008A60E2">
      <w:pPr>
        <w:keepNext/>
        <w:keepLines/>
        <w:spacing w:before="480" w:after="0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A60E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ПРИЛ</w:t>
      </w:r>
      <w:bookmarkStart w:id="1" w:name="_Toc331172057"/>
      <w:r w:rsidRPr="008A60E2">
        <w:rPr>
          <w:rFonts w:ascii="Times New Roman" w:eastAsia="Times New Roman" w:hAnsi="Times New Roman"/>
          <w:b/>
          <w:bCs/>
          <w:sz w:val="28"/>
          <w:szCs w:val="28"/>
        </w:rPr>
        <w:t xml:space="preserve">ОЖЕНИЕ </w:t>
      </w:r>
      <w:bookmarkEnd w:id="1"/>
    </w:p>
    <w:p w:rsidR="008A60E2" w:rsidRPr="008A60E2" w:rsidRDefault="008A60E2" w:rsidP="008A60E2">
      <w:pPr>
        <w:rPr>
          <w:rFonts w:ascii="Times New Roman" w:hAnsi="Times New Roman"/>
          <w:sz w:val="28"/>
          <w:szCs w:val="28"/>
        </w:rPr>
      </w:pPr>
      <w:r w:rsidRPr="008A60E2">
        <w:rPr>
          <w:rFonts w:ascii="Times New Roman" w:hAnsi="Times New Roman"/>
          <w:sz w:val="28"/>
          <w:szCs w:val="28"/>
        </w:rPr>
        <w:t>Результаты ранжирования городов по уровню информационной открытости органов и организаций, с которыми взаимодействуют застройщики при реализации проекта строительства многоквартирного дома</w:t>
      </w:r>
      <w:r w:rsidRPr="008A60E2">
        <w:fldChar w:fldCharType="begin"/>
      </w:r>
      <w:r w:rsidRPr="008A60E2">
        <w:instrText xml:space="preserve"> LINK </w:instrText>
      </w:r>
      <w:r>
        <w:instrText xml:space="preserve">Excel.Sheet.12 "E:\\База данных по информационной открытости _19 июля.xlsx" ПРИЛОЖЕНИЕ!R2C1:R27C15 </w:instrText>
      </w:r>
      <w:r w:rsidRPr="008A60E2">
        <w:instrText xml:space="preserve">\a \f 4 \h  \* MERGEFORMAT </w:instrText>
      </w:r>
      <w:r w:rsidRPr="008A60E2">
        <w:fldChar w:fldCharType="separate"/>
      </w:r>
    </w:p>
    <w:tbl>
      <w:tblPr>
        <w:tblW w:w="21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708"/>
        <w:gridCol w:w="1843"/>
        <w:gridCol w:w="724"/>
        <w:gridCol w:w="2106"/>
        <w:gridCol w:w="933"/>
        <w:gridCol w:w="1945"/>
        <w:gridCol w:w="933"/>
        <w:gridCol w:w="1945"/>
        <w:gridCol w:w="933"/>
        <w:gridCol w:w="1945"/>
        <w:gridCol w:w="933"/>
        <w:gridCol w:w="1945"/>
        <w:gridCol w:w="933"/>
      </w:tblGrid>
      <w:tr w:rsidR="008A60E2" w:rsidRPr="008A60E2" w:rsidTr="00D21C15">
        <w:trPr>
          <w:trHeight w:val="1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Сводный индикатор информационной открытости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прозрачности общих условий регулирования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прозрачности условий прохождения административных процедур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информационной открытости федерального органа исполнительной власти (</w:t>
            </w:r>
            <w:proofErr w:type="spellStart"/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информационной открытости органов исполнительной власти субъектов РФ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информационной открытости органов местного самоуправления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информационной открытости органов электросетевых организаций и организаций коммунального комплекса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Ранг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Калининград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Воронеж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Астрахань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Благовещенск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Владикавказ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Иркутск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8A60E2" w:rsidRPr="008A60E2" w:rsidTr="00D21C1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2" w:rsidRPr="008A60E2" w:rsidRDefault="008A60E2" w:rsidP="008A60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8A60E2" w:rsidRPr="008A60E2" w:rsidRDefault="008A60E2" w:rsidP="008A6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0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471FC8" w:rsidRPr="008A60E2" w:rsidRDefault="008A60E2" w:rsidP="008A60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471FC8" w:rsidRPr="008A60E2" w:rsidSect="008A60E2">
          <w:pgSz w:w="23814" w:h="16839" w:orient="landscape" w:code="8"/>
          <w:pgMar w:top="1701" w:right="1134" w:bottom="850" w:left="1134" w:header="708" w:footer="708" w:gutter="0"/>
          <w:cols w:space="708"/>
          <w:docGrid w:linePitch="360"/>
        </w:sectPr>
      </w:pPr>
      <w:r w:rsidRPr="008A60E2">
        <w:fldChar w:fldCharType="end"/>
      </w:r>
    </w:p>
    <w:p w:rsidR="006F1068" w:rsidRDefault="006F1068"/>
    <w:sectPr w:rsidR="006F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C8" w:rsidRDefault="00471FC8" w:rsidP="00471FC8">
      <w:pPr>
        <w:spacing w:after="0" w:line="240" w:lineRule="auto"/>
      </w:pPr>
      <w:r>
        <w:separator/>
      </w:r>
    </w:p>
  </w:endnote>
  <w:endnote w:type="continuationSeparator" w:id="0">
    <w:p w:rsidR="00471FC8" w:rsidRDefault="00471FC8" w:rsidP="0047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044354"/>
      <w:docPartObj>
        <w:docPartGallery w:val="Page Numbers (Bottom of Page)"/>
        <w:docPartUnique/>
      </w:docPartObj>
    </w:sdtPr>
    <w:sdtContent>
      <w:p w:rsidR="008A60E2" w:rsidRDefault="008A60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8A60E2" w:rsidRDefault="008A60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C8" w:rsidRDefault="00471FC8" w:rsidP="00471FC8">
      <w:pPr>
        <w:spacing w:after="0" w:line="240" w:lineRule="auto"/>
      </w:pPr>
      <w:r>
        <w:separator/>
      </w:r>
    </w:p>
  </w:footnote>
  <w:footnote w:type="continuationSeparator" w:id="0">
    <w:p w:rsidR="00471FC8" w:rsidRDefault="00471FC8" w:rsidP="00471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04D9"/>
    <w:multiLevelType w:val="hybridMultilevel"/>
    <w:tmpl w:val="3918A34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C8"/>
    <w:rsid w:val="000004C1"/>
    <w:rsid w:val="00001CC4"/>
    <w:rsid w:val="00002C4C"/>
    <w:rsid w:val="00003649"/>
    <w:rsid w:val="00006283"/>
    <w:rsid w:val="000103F7"/>
    <w:rsid w:val="000143A5"/>
    <w:rsid w:val="00014BEE"/>
    <w:rsid w:val="00014D77"/>
    <w:rsid w:val="00016330"/>
    <w:rsid w:val="00017D07"/>
    <w:rsid w:val="00020452"/>
    <w:rsid w:val="000243AC"/>
    <w:rsid w:val="0002523A"/>
    <w:rsid w:val="000275BB"/>
    <w:rsid w:val="00032420"/>
    <w:rsid w:val="00033AF8"/>
    <w:rsid w:val="000343CA"/>
    <w:rsid w:val="00034E7E"/>
    <w:rsid w:val="000373B4"/>
    <w:rsid w:val="00042004"/>
    <w:rsid w:val="00046327"/>
    <w:rsid w:val="00046617"/>
    <w:rsid w:val="00047B0A"/>
    <w:rsid w:val="00051A31"/>
    <w:rsid w:val="0005675F"/>
    <w:rsid w:val="00056B7A"/>
    <w:rsid w:val="00056E89"/>
    <w:rsid w:val="00062EF5"/>
    <w:rsid w:val="00063EB1"/>
    <w:rsid w:val="000658ED"/>
    <w:rsid w:val="00065DED"/>
    <w:rsid w:val="00065ED2"/>
    <w:rsid w:val="0006745A"/>
    <w:rsid w:val="00067F55"/>
    <w:rsid w:val="000702F5"/>
    <w:rsid w:val="0007318C"/>
    <w:rsid w:val="000732FA"/>
    <w:rsid w:val="00073BBD"/>
    <w:rsid w:val="00074FF7"/>
    <w:rsid w:val="00075033"/>
    <w:rsid w:val="00075ED8"/>
    <w:rsid w:val="00080032"/>
    <w:rsid w:val="00080B0F"/>
    <w:rsid w:val="00080FD0"/>
    <w:rsid w:val="000818A3"/>
    <w:rsid w:val="00083401"/>
    <w:rsid w:val="00084952"/>
    <w:rsid w:val="00084FC3"/>
    <w:rsid w:val="000851E7"/>
    <w:rsid w:val="000911F6"/>
    <w:rsid w:val="00092DB2"/>
    <w:rsid w:val="00092E66"/>
    <w:rsid w:val="000A0A6A"/>
    <w:rsid w:val="000A53A0"/>
    <w:rsid w:val="000A6484"/>
    <w:rsid w:val="000A7E0E"/>
    <w:rsid w:val="000B057B"/>
    <w:rsid w:val="000B0E93"/>
    <w:rsid w:val="000B1B2E"/>
    <w:rsid w:val="000B4149"/>
    <w:rsid w:val="000B53FD"/>
    <w:rsid w:val="000B6A76"/>
    <w:rsid w:val="000B6DEB"/>
    <w:rsid w:val="000C0D50"/>
    <w:rsid w:val="000C1C9A"/>
    <w:rsid w:val="000C2381"/>
    <w:rsid w:val="000C312D"/>
    <w:rsid w:val="000C4842"/>
    <w:rsid w:val="000D1916"/>
    <w:rsid w:val="000D209D"/>
    <w:rsid w:val="000D5E76"/>
    <w:rsid w:val="000D6234"/>
    <w:rsid w:val="000D7CD8"/>
    <w:rsid w:val="000E01DF"/>
    <w:rsid w:val="000E1CB8"/>
    <w:rsid w:val="000E4111"/>
    <w:rsid w:val="000E4F43"/>
    <w:rsid w:val="000E507E"/>
    <w:rsid w:val="000F0C22"/>
    <w:rsid w:val="000F1532"/>
    <w:rsid w:val="000F48BB"/>
    <w:rsid w:val="000F54B5"/>
    <w:rsid w:val="000F5ED5"/>
    <w:rsid w:val="000F67DB"/>
    <w:rsid w:val="001004F3"/>
    <w:rsid w:val="0010373B"/>
    <w:rsid w:val="001062C8"/>
    <w:rsid w:val="001069DA"/>
    <w:rsid w:val="00107C60"/>
    <w:rsid w:val="00111549"/>
    <w:rsid w:val="00111961"/>
    <w:rsid w:val="00111D84"/>
    <w:rsid w:val="001144B8"/>
    <w:rsid w:val="00115D53"/>
    <w:rsid w:val="00115D5C"/>
    <w:rsid w:val="001171BE"/>
    <w:rsid w:val="00120103"/>
    <w:rsid w:val="001202A9"/>
    <w:rsid w:val="0012046E"/>
    <w:rsid w:val="00123B31"/>
    <w:rsid w:val="00125A61"/>
    <w:rsid w:val="00125F31"/>
    <w:rsid w:val="00126C32"/>
    <w:rsid w:val="00127FDD"/>
    <w:rsid w:val="00131F41"/>
    <w:rsid w:val="00132478"/>
    <w:rsid w:val="001324BE"/>
    <w:rsid w:val="0013284F"/>
    <w:rsid w:val="00132CD3"/>
    <w:rsid w:val="00133CA2"/>
    <w:rsid w:val="001356B1"/>
    <w:rsid w:val="00140C22"/>
    <w:rsid w:val="00142E68"/>
    <w:rsid w:val="00143465"/>
    <w:rsid w:val="0014409D"/>
    <w:rsid w:val="00144EEC"/>
    <w:rsid w:val="00145560"/>
    <w:rsid w:val="00146956"/>
    <w:rsid w:val="001472D0"/>
    <w:rsid w:val="00151553"/>
    <w:rsid w:val="00151ADD"/>
    <w:rsid w:val="00151FC1"/>
    <w:rsid w:val="00151FEE"/>
    <w:rsid w:val="00155C72"/>
    <w:rsid w:val="00156DAA"/>
    <w:rsid w:val="00160A3F"/>
    <w:rsid w:val="00162CB1"/>
    <w:rsid w:val="00165445"/>
    <w:rsid w:val="00165799"/>
    <w:rsid w:val="001679F3"/>
    <w:rsid w:val="00173581"/>
    <w:rsid w:val="00175D51"/>
    <w:rsid w:val="00175E03"/>
    <w:rsid w:val="00176592"/>
    <w:rsid w:val="00182008"/>
    <w:rsid w:val="001843C3"/>
    <w:rsid w:val="001846DE"/>
    <w:rsid w:val="00184FAA"/>
    <w:rsid w:val="00185AE6"/>
    <w:rsid w:val="001918CC"/>
    <w:rsid w:val="0019356C"/>
    <w:rsid w:val="00195CA6"/>
    <w:rsid w:val="001A28DE"/>
    <w:rsid w:val="001A467D"/>
    <w:rsid w:val="001A4A7C"/>
    <w:rsid w:val="001A612A"/>
    <w:rsid w:val="001B4B72"/>
    <w:rsid w:val="001B5F65"/>
    <w:rsid w:val="001C02DB"/>
    <w:rsid w:val="001C1309"/>
    <w:rsid w:val="001C591E"/>
    <w:rsid w:val="001C6A51"/>
    <w:rsid w:val="001D0A91"/>
    <w:rsid w:val="001D2DF5"/>
    <w:rsid w:val="001D370B"/>
    <w:rsid w:val="001D5431"/>
    <w:rsid w:val="001D64A9"/>
    <w:rsid w:val="001D691B"/>
    <w:rsid w:val="001D6E08"/>
    <w:rsid w:val="001E36FC"/>
    <w:rsid w:val="001F0A56"/>
    <w:rsid w:val="001F0FAC"/>
    <w:rsid w:val="001F490E"/>
    <w:rsid w:val="001F773D"/>
    <w:rsid w:val="0020001B"/>
    <w:rsid w:val="002006F6"/>
    <w:rsid w:val="0020154D"/>
    <w:rsid w:val="0020445A"/>
    <w:rsid w:val="00205E7C"/>
    <w:rsid w:val="00210356"/>
    <w:rsid w:val="00211A7B"/>
    <w:rsid w:val="00212AB7"/>
    <w:rsid w:val="00212C1F"/>
    <w:rsid w:val="00213FD8"/>
    <w:rsid w:val="00214A11"/>
    <w:rsid w:val="0021798B"/>
    <w:rsid w:val="00217CEA"/>
    <w:rsid w:val="002205D7"/>
    <w:rsid w:val="00221925"/>
    <w:rsid w:val="00222E39"/>
    <w:rsid w:val="002239C8"/>
    <w:rsid w:val="00225AFC"/>
    <w:rsid w:val="002261BB"/>
    <w:rsid w:val="00227029"/>
    <w:rsid w:val="002322AD"/>
    <w:rsid w:val="0023421A"/>
    <w:rsid w:val="00234F63"/>
    <w:rsid w:val="002377A9"/>
    <w:rsid w:val="00240617"/>
    <w:rsid w:val="00241251"/>
    <w:rsid w:val="00242547"/>
    <w:rsid w:val="00242E45"/>
    <w:rsid w:val="00243CB6"/>
    <w:rsid w:val="00244641"/>
    <w:rsid w:val="002455D5"/>
    <w:rsid w:val="0024619C"/>
    <w:rsid w:val="00246B9E"/>
    <w:rsid w:val="00247F3A"/>
    <w:rsid w:val="00247F54"/>
    <w:rsid w:val="00255D13"/>
    <w:rsid w:val="002560A4"/>
    <w:rsid w:val="0025759C"/>
    <w:rsid w:val="002600C8"/>
    <w:rsid w:val="002621F7"/>
    <w:rsid w:val="00262799"/>
    <w:rsid w:val="0026323C"/>
    <w:rsid w:val="00265353"/>
    <w:rsid w:val="00266D84"/>
    <w:rsid w:val="002673B3"/>
    <w:rsid w:val="002677E3"/>
    <w:rsid w:val="0027102F"/>
    <w:rsid w:val="00271CE5"/>
    <w:rsid w:val="0027323B"/>
    <w:rsid w:val="00273453"/>
    <w:rsid w:val="002745AA"/>
    <w:rsid w:val="00281A34"/>
    <w:rsid w:val="00281C9A"/>
    <w:rsid w:val="00284321"/>
    <w:rsid w:val="002845A2"/>
    <w:rsid w:val="00284C37"/>
    <w:rsid w:val="00287653"/>
    <w:rsid w:val="00287F48"/>
    <w:rsid w:val="00290B5B"/>
    <w:rsid w:val="002958A9"/>
    <w:rsid w:val="0029690F"/>
    <w:rsid w:val="002A2127"/>
    <w:rsid w:val="002A28F1"/>
    <w:rsid w:val="002A2F0F"/>
    <w:rsid w:val="002A5805"/>
    <w:rsid w:val="002A5951"/>
    <w:rsid w:val="002A63E9"/>
    <w:rsid w:val="002A6C46"/>
    <w:rsid w:val="002A7784"/>
    <w:rsid w:val="002B0020"/>
    <w:rsid w:val="002B08BD"/>
    <w:rsid w:val="002B1A43"/>
    <w:rsid w:val="002B3F3C"/>
    <w:rsid w:val="002B470B"/>
    <w:rsid w:val="002B66E4"/>
    <w:rsid w:val="002B6EF6"/>
    <w:rsid w:val="002C05D2"/>
    <w:rsid w:val="002C08BB"/>
    <w:rsid w:val="002C08C2"/>
    <w:rsid w:val="002C0E34"/>
    <w:rsid w:val="002C1304"/>
    <w:rsid w:val="002C2F25"/>
    <w:rsid w:val="002C4255"/>
    <w:rsid w:val="002C45BF"/>
    <w:rsid w:val="002C5B53"/>
    <w:rsid w:val="002C754B"/>
    <w:rsid w:val="002D0661"/>
    <w:rsid w:val="002D132C"/>
    <w:rsid w:val="002D2BA8"/>
    <w:rsid w:val="002D3DCE"/>
    <w:rsid w:val="002D3FFE"/>
    <w:rsid w:val="002D49D4"/>
    <w:rsid w:val="002D5720"/>
    <w:rsid w:val="002D644C"/>
    <w:rsid w:val="002D6C80"/>
    <w:rsid w:val="002E0E9F"/>
    <w:rsid w:val="002E316B"/>
    <w:rsid w:val="002E4685"/>
    <w:rsid w:val="002E4794"/>
    <w:rsid w:val="002E6762"/>
    <w:rsid w:val="002F1138"/>
    <w:rsid w:val="002F1AF2"/>
    <w:rsid w:val="002F257A"/>
    <w:rsid w:val="002F2E9B"/>
    <w:rsid w:val="002F3388"/>
    <w:rsid w:val="002F5E0E"/>
    <w:rsid w:val="002F798C"/>
    <w:rsid w:val="00300C23"/>
    <w:rsid w:val="003010A9"/>
    <w:rsid w:val="00301533"/>
    <w:rsid w:val="0030157B"/>
    <w:rsid w:val="0030234E"/>
    <w:rsid w:val="003034DD"/>
    <w:rsid w:val="003043E1"/>
    <w:rsid w:val="00307214"/>
    <w:rsid w:val="0031494A"/>
    <w:rsid w:val="00315CCE"/>
    <w:rsid w:val="00321C4E"/>
    <w:rsid w:val="0032253B"/>
    <w:rsid w:val="00323026"/>
    <w:rsid w:val="00324DC3"/>
    <w:rsid w:val="00325666"/>
    <w:rsid w:val="00325A94"/>
    <w:rsid w:val="00327E34"/>
    <w:rsid w:val="00333CE3"/>
    <w:rsid w:val="00334897"/>
    <w:rsid w:val="003351DF"/>
    <w:rsid w:val="00337922"/>
    <w:rsid w:val="00340A3A"/>
    <w:rsid w:val="00340B10"/>
    <w:rsid w:val="0034179D"/>
    <w:rsid w:val="00342AE9"/>
    <w:rsid w:val="00345547"/>
    <w:rsid w:val="00345AEF"/>
    <w:rsid w:val="00350D72"/>
    <w:rsid w:val="00351C33"/>
    <w:rsid w:val="00352490"/>
    <w:rsid w:val="003527B2"/>
    <w:rsid w:val="00353E55"/>
    <w:rsid w:val="003557DD"/>
    <w:rsid w:val="003559C6"/>
    <w:rsid w:val="00360042"/>
    <w:rsid w:val="00360E13"/>
    <w:rsid w:val="00362775"/>
    <w:rsid w:val="00364862"/>
    <w:rsid w:val="00366C35"/>
    <w:rsid w:val="003735F4"/>
    <w:rsid w:val="003736A1"/>
    <w:rsid w:val="00373B4B"/>
    <w:rsid w:val="0037411C"/>
    <w:rsid w:val="00380A6B"/>
    <w:rsid w:val="0038166F"/>
    <w:rsid w:val="00381EC6"/>
    <w:rsid w:val="00383D63"/>
    <w:rsid w:val="00384CA1"/>
    <w:rsid w:val="00384F06"/>
    <w:rsid w:val="00385F40"/>
    <w:rsid w:val="00387C33"/>
    <w:rsid w:val="00390F0B"/>
    <w:rsid w:val="00391237"/>
    <w:rsid w:val="0039187F"/>
    <w:rsid w:val="00391CEF"/>
    <w:rsid w:val="00392E04"/>
    <w:rsid w:val="00393FEE"/>
    <w:rsid w:val="00394B98"/>
    <w:rsid w:val="003954F2"/>
    <w:rsid w:val="00397827"/>
    <w:rsid w:val="003A3C86"/>
    <w:rsid w:val="003A46C8"/>
    <w:rsid w:val="003A52E3"/>
    <w:rsid w:val="003A63A1"/>
    <w:rsid w:val="003B02CE"/>
    <w:rsid w:val="003B05DE"/>
    <w:rsid w:val="003B258E"/>
    <w:rsid w:val="003B44B7"/>
    <w:rsid w:val="003B4AA0"/>
    <w:rsid w:val="003B721B"/>
    <w:rsid w:val="003B77E2"/>
    <w:rsid w:val="003C0670"/>
    <w:rsid w:val="003C0964"/>
    <w:rsid w:val="003C0A2F"/>
    <w:rsid w:val="003C25FE"/>
    <w:rsid w:val="003C2B6E"/>
    <w:rsid w:val="003C3EE6"/>
    <w:rsid w:val="003C435B"/>
    <w:rsid w:val="003C7499"/>
    <w:rsid w:val="003D32F6"/>
    <w:rsid w:val="003D65C0"/>
    <w:rsid w:val="003D6CED"/>
    <w:rsid w:val="003D7785"/>
    <w:rsid w:val="003D7CEB"/>
    <w:rsid w:val="003E059B"/>
    <w:rsid w:val="003E2094"/>
    <w:rsid w:val="003E24C7"/>
    <w:rsid w:val="003E2696"/>
    <w:rsid w:val="003E48F6"/>
    <w:rsid w:val="003E63E9"/>
    <w:rsid w:val="003E74FE"/>
    <w:rsid w:val="003F11A4"/>
    <w:rsid w:val="003F1C50"/>
    <w:rsid w:val="003F7FEA"/>
    <w:rsid w:val="00402F66"/>
    <w:rsid w:val="00403EA9"/>
    <w:rsid w:val="0040770C"/>
    <w:rsid w:val="004114F8"/>
    <w:rsid w:val="0041175A"/>
    <w:rsid w:val="00411CB8"/>
    <w:rsid w:val="00411CE6"/>
    <w:rsid w:val="00412740"/>
    <w:rsid w:val="00413257"/>
    <w:rsid w:val="004140F6"/>
    <w:rsid w:val="004164CD"/>
    <w:rsid w:val="0041681A"/>
    <w:rsid w:val="0042049C"/>
    <w:rsid w:val="00423B38"/>
    <w:rsid w:val="004241E6"/>
    <w:rsid w:val="0042562D"/>
    <w:rsid w:val="00425996"/>
    <w:rsid w:val="004267C6"/>
    <w:rsid w:val="00430D8F"/>
    <w:rsid w:val="00431C4A"/>
    <w:rsid w:val="00432210"/>
    <w:rsid w:val="004365F9"/>
    <w:rsid w:val="0044218C"/>
    <w:rsid w:val="00446946"/>
    <w:rsid w:val="004533D2"/>
    <w:rsid w:val="004611C3"/>
    <w:rsid w:val="004625A9"/>
    <w:rsid w:val="00462D37"/>
    <w:rsid w:val="0046717D"/>
    <w:rsid w:val="00471FC8"/>
    <w:rsid w:val="0047265A"/>
    <w:rsid w:val="004738EB"/>
    <w:rsid w:val="00476A7D"/>
    <w:rsid w:val="00480C36"/>
    <w:rsid w:val="00482655"/>
    <w:rsid w:val="0048401E"/>
    <w:rsid w:val="00484550"/>
    <w:rsid w:val="0048574C"/>
    <w:rsid w:val="00486224"/>
    <w:rsid w:val="00487ADA"/>
    <w:rsid w:val="004908B7"/>
    <w:rsid w:val="004943CE"/>
    <w:rsid w:val="004943DF"/>
    <w:rsid w:val="00497930"/>
    <w:rsid w:val="004A0654"/>
    <w:rsid w:val="004A0FD7"/>
    <w:rsid w:val="004A29FE"/>
    <w:rsid w:val="004A6526"/>
    <w:rsid w:val="004B18F4"/>
    <w:rsid w:val="004B2EAD"/>
    <w:rsid w:val="004B329F"/>
    <w:rsid w:val="004B3F1D"/>
    <w:rsid w:val="004B451A"/>
    <w:rsid w:val="004B5613"/>
    <w:rsid w:val="004B7846"/>
    <w:rsid w:val="004C1E94"/>
    <w:rsid w:val="004C2839"/>
    <w:rsid w:val="004C2FDC"/>
    <w:rsid w:val="004C5371"/>
    <w:rsid w:val="004C7C3D"/>
    <w:rsid w:val="004D0DEA"/>
    <w:rsid w:val="004D2100"/>
    <w:rsid w:val="004D2D9A"/>
    <w:rsid w:val="004D31DB"/>
    <w:rsid w:val="004E3881"/>
    <w:rsid w:val="004E48B2"/>
    <w:rsid w:val="004E5A02"/>
    <w:rsid w:val="004E6EB3"/>
    <w:rsid w:val="004E725E"/>
    <w:rsid w:val="004F1289"/>
    <w:rsid w:val="004F3BA5"/>
    <w:rsid w:val="004F5276"/>
    <w:rsid w:val="004F6624"/>
    <w:rsid w:val="005048FF"/>
    <w:rsid w:val="00504C8E"/>
    <w:rsid w:val="0050760B"/>
    <w:rsid w:val="00510FE9"/>
    <w:rsid w:val="00512DF8"/>
    <w:rsid w:val="00513FB4"/>
    <w:rsid w:val="00514104"/>
    <w:rsid w:val="00524ADE"/>
    <w:rsid w:val="00525B61"/>
    <w:rsid w:val="00530F88"/>
    <w:rsid w:val="0053324A"/>
    <w:rsid w:val="005403BB"/>
    <w:rsid w:val="005408B6"/>
    <w:rsid w:val="00540A72"/>
    <w:rsid w:val="00542938"/>
    <w:rsid w:val="00545212"/>
    <w:rsid w:val="0055014B"/>
    <w:rsid w:val="00551486"/>
    <w:rsid w:val="005525DE"/>
    <w:rsid w:val="005529C3"/>
    <w:rsid w:val="00552FDA"/>
    <w:rsid w:val="00553B3A"/>
    <w:rsid w:val="005541C3"/>
    <w:rsid w:val="00554721"/>
    <w:rsid w:val="005548D4"/>
    <w:rsid w:val="00554F0B"/>
    <w:rsid w:val="00554F44"/>
    <w:rsid w:val="0055617A"/>
    <w:rsid w:val="005574A3"/>
    <w:rsid w:val="005609C7"/>
    <w:rsid w:val="005624F4"/>
    <w:rsid w:val="00564BED"/>
    <w:rsid w:val="005657ED"/>
    <w:rsid w:val="00566C28"/>
    <w:rsid w:val="0057079F"/>
    <w:rsid w:val="00571EBD"/>
    <w:rsid w:val="00573ABC"/>
    <w:rsid w:val="00573D3E"/>
    <w:rsid w:val="00574D2A"/>
    <w:rsid w:val="00574EAF"/>
    <w:rsid w:val="00575FC0"/>
    <w:rsid w:val="005778E1"/>
    <w:rsid w:val="00582485"/>
    <w:rsid w:val="005829F4"/>
    <w:rsid w:val="00583CFE"/>
    <w:rsid w:val="00595994"/>
    <w:rsid w:val="00595CAF"/>
    <w:rsid w:val="005A1A53"/>
    <w:rsid w:val="005A1E66"/>
    <w:rsid w:val="005A5025"/>
    <w:rsid w:val="005A5AD8"/>
    <w:rsid w:val="005B1609"/>
    <w:rsid w:val="005B70CC"/>
    <w:rsid w:val="005B723C"/>
    <w:rsid w:val="005C0487"/>
    <w:rsid w:val="005C0519"/>
    <w:rsid w:val="005C2143"/>
    <w:rsid w:val="005C2CC7"/>
    <w:rsid w:val="005C4764"/>
    <w:rsid w:val="005C530A"/>
    <w:rsid w:val="005C6765"/>
    <w:rsid w:val="005D112C"/>
    <w:rsid w:val="005D2752"/>
    <w:rsid w:val="005D6D1F"/>
    <w:rsid w:val="005D7E9E"/>
    <w:rsid w:val="005E0B34"/>
    <w:rsid w:val="005E37CC"/>
    <w:rsid w:val="005E5C82"/>
    <w:rsid w:val="005F0C6D"/>
    <w:rsid w:val="005F2CE4"/>
    <w:rsid w:val="005F4000"/>
    <w:rsid w:val="005F5171"/>
    <w:rsid w:val="005F5DD7"/>
    <w:rsid w:val="005F6D3D"/>
    <w:rsid w:val="006012C7"/>
    <w:rsid w:val="00602025"/>
    <w:rsid w:val="0060216F"/>
    <w:rsid w:val="00606CF9"/>
    <w:rsid w:val="00610066"/>
    <w:rsid w:val="0061255F"/>
    <w:rsid w:val="00612734"/>
    <w:rsid w:val="00613AE5"/>
    <w:rsid w:val="00613CB5"/>
    <w:rsid w:val="00615834"/>
    <w:rsid w:val="00615F50"/>
    <w:rsid w:val="00623AA1"/>
    <w:rsid w:val="00623CC0"/>
    <w:rsid w:val="006253EA"/>
    <w:rsid w:val="0062568F"/>
    <w:rsid w:val="006305F0"/>
    <w:rsid w:val="00630DD4"/>
    <w:rsid w:val="00631181"/>
    <w:rsid w:val="00635D26"/>
    <w:rsid w:val="00636869"/>
    <w:rsid w:val="00647843"/>
    <w:rsid w:val="00647CF8"/>
    <w:rsid w:val="00647EDB"/>
    <w:rsid w:val="00651667"/>
    <w:rsid w:val="00652E0B"/>
    <w:rsid w:val="00655067"/>
    <w:rsid w:val="0065570E"/>
    <w:rsid w:val="00655DB5"/>
    <w:rsid w:val="006562C2"/>
    <w:rsid w:val="0065637C"/>
    <w:rsid w:val="00661A92"/>
    <w:rsid w:val="00662174"/>
    <w:rsid w:val="006647F5"/>
    <w:rsid w:val="0066704D"/>
    <w:rsid w:val="00671FCC"/>
    <w:rsid w:val="00674954"/>
    <w:rsid w:val="00677BE8"/>
    <w:rsid w:val="0068143E"/>
    <w:rsid w:val="00681BA7"/>
    <w:rsid w:val="006828DF"/>
    <w:rsid w:val="00683C7C"/>
    <w:rsid w:val="0068621A"/>
    <w:rsid w:val="006913F3"/>
    <w:rsid w:val="006925A4"/>
    <w:rsid w:val="00692FD2"/>
    <w:rsid w:val="006930FF"/>
    <w:rsid w:val="0069447D"/>
    <w:rsid w:val="0069470B"/>
    <w:rsid w:val="00697032"/>
    <w:rsid w:val="006A0B5E"/>
    <w:rsid w:val="006A0D20"/>
    <w:rsid w:val="006A105D"/>
    <w:rsid w:val="006A35B2"/>
    <w:rsid w:val="006A40C2"/>
    <w:rsid w:val="006A4263"/>
    <w:rsid w:val="006A4857"/>
    <w:rsid w:val="006A4FBE"/>
    <w:rsid w:val="006A545D"/>
    <w:rsid w:val="006A674A"/>
    <w:rsid w:val="006A6F8D"/>
    <w:rsid w:val="006B00C1"/>
    <w:rsid w:val="006B04D6"/>
    <w:rsid w:val="006B057C"/>
    <w:rsid w:val="006B09D7"/>
    <w:rsid w:val="006B16EF"/>
    <w:rsid w:val="006B2B76"/>
    <w:rsid w:val="006B2CEF"/>
    <w:rsid w:val="006B557C"/>
    <w:rsid w:val="006C05B9"/>
    <w:rsid w:val="006C09A9"/>
    <w:rsid w:val="006C0B24"/>
    <w:rsid w:val="006C1455"/>
    <w:rsid w:val="006C1A0E"/>
    <w:rsid w:val="006C41B7"/>
    <w:rsid w:val="006C4CA8"/>
    <w:rsid w:val="006C5030"/>
    <w:rsid w:val="006C52B2"/>
    <w:rsid w:val="006C5831"/>
    <w:rsid w:val="006C592C"/>
    <w:rsid w:val="006C66E2"/>
    <w:rsid w:val="006C770F"/>
    <w:rsid w:val="006D199A"/>
    <w:rsid w:val="006D1BA4"/>
    <w:rsid w:val="006D21CE"/>
    <w:rsid w:val="006D316C"/>
    <w:rsid w:val="006D496D"/>
    <w:rsid w:val="006D6D7E"/>
    <w:rsid w:val="006E054A"/>
    <w:rsid w:val="006E12D8"/>
    <w:rsid w:val="006E1AAB"/>
    <w:rsid w:val="006E38B8"/>
    <w:rsid w:val="006E4311"/>
    <w:rsid w:val="006E44D8"/>
    <w:rsid w:val="006E6A12"/>
    <w:rsid w:val="006E7617"/>
    <w:rsid w:val="006F1068"/>
    <w:rsid w:val="006F3200"/>
    <w:rsid w:val="006F41A3"/>
    <w:rsid w:val="006F63B4"/>
    <w:rsid w:val="006F6B8E"/>
    <w:rsid w:val="00700173"/>
    <w:rsid w:val="00701E2D"/>
    <w:rsid w:val="00702D66"/>
    <w:rsid w:val="00705D78"/>
    <w:rsid w:val="00706088"/>
    <w:rsid w:val="00707AD5"/>
    <w:rsid w:val="00712774"/>
    <w:rsid w:val="007136F7"/>
    <w:rsid w:val="00713CF9"/>
    <w:rsid w:val="00715483"/>
    <w:rsid w:val="007154D0"/>
    <w:rsid w:val="007213F9"/>
    <w:rsid w:val="0072167A"/>
    <w:rsid w:val="00721F24"/>
    <w:rsid w:val="007224A3"/>
    <w:rsid w:val="0072439A"/>
    <w:rsid w:val="00724F05"/>
    <w:rsid w:val="007277A1"/>
    <w:rsid w:val="0073117B"/>
    <w:rsid w:val="00731BA3"/>
    <w:rsid w:val="007320AC"/>
    <w:rsid w:val="00732CA0"/>
    <w:rsid w:val="0073317E"/>
    <w:rsid w:val="00733289"/>
    <w:rsid w:val="00734AC6"/>
    <w:rsid w:val="00736356"/>
    <w:rsid w:val="00741426"/>
    <w:rsid w:val="00742D30"/>
    <w:rsid w:val="00746A26"/>
    <w:rsid w:val="00747713"/>
    <w:rsid w:val="00750227"/>
    <w:rsid w:val="0075052D"/>
    <w:rsid w:val="00752277"/>
    <w:rsid w:val="007539D0"/>
    <w:rsid w:val="007570D5"/>
    <w:rsid w:val="00761ED7"/>
    <w:rsid w:val="00766043"/>
    <w:rsid w:val="00773519"/>
    <w:rsid w:val="007736CC"/>
    <w:rsid w:val="00777CE3"/>
    <w:rsid w:val="00782019"/>
    <w:rsid w:val="0078212E"/>
    <w:rsid w:val="00782380"/>
    <w:rsid w:val="00783E74"/>
    <w:rsid w:val="007848DD"/>
    <w:rsid w:val="00784D75"/>
    <w:rsid w:val="0078567C"/>
    <w:rsid w:val="00792048"/>
    <w:rsid w:val="00792AF0"/>
    <w:rsid w:val="0079775B"/>
    <w:rsid w:val="007A0A2A"/>
    <w:rsid w:val="007A0BFE"/>
    <w:rsid w:val="007A1181"/>
    <w:rsid w:val="007A1670"/>
    <w:rsid w:val="007A1D63"/>
    <w:rsid w:val="007A1DA8"/>
    <w:rsid w:val="007A3062"/>
    <w:rsid w:val="007A35AB"/>
    <w:rsid w:val="007A4876"/>
    <w:rsid w:val="007A74C4"/>
    <w:rsid w:val="007B02AF"/>
    <w:rsid w:val="007C3313"/>
    <w:rsid w:val="007C42B1"/>
    <w:rsid w:val="007C690C"/>
    <w:rsid w:val="007C6A62"/>
    <w:rsid w:val="007D0299"/>
    <w:rsid w:val="007D0E0D"/>
    <w:rsid w:val="007D26AA"/>
    <w:rsid w:val="007D2A27"/>
    <w:rsid w:val="007D352D"/>
    <w:rsid w:val="007D4000"/>
    <w:rsid w:val="007D76EA"/>
    <w:rsid w:val="007E0974"/>
    <w:rsid w:val="007E0EE1"/>
    <w:rsid w:val="007E1D4A"/>
    <w:rsid w:val="007E2D0C"/>
    <w:rsid w:val="007E543C"/>
    <w:rsid w:val="007E5704"/>
    <w:rsid w:val="007E613F"/>
    <w:rsid w:val="007E6D2B"/>
    <w:rsid w:val="007E79AE"/>
    <w:rsid w:val="007F1677"/>
    <w:rsid w:val="007F1EA0"/>
    <w:rsid w:val="007F48E2"/>
    <w:rsid w:val="00800B0B"/>
    <w:rsid w:val="00804291"/>
    <w:rsid w:val="00805CCB"/>
    <w:rsid w:val="00811034"/>
    <w:rsid w:val="00812BAB"/>
    <w:rsid w:val="00815165"/>
    <w:rsid w:val="00816EDB"/>
    <w:rsid w:val="00817BF8"/>
    <w:rsid w:val="008203E6"/>
    <w:rsid w:val="00820906"/>
    <w:rsid w:val="00822A52"/>
    <w:rsid w:val="00824149"/>
    <w:rsid w:val="008266E7"/>
    <w:rsid w:val="0082691A"/>
    <w:rsid w:val="00831CE5"/>
    <w:rsid w:val="00832C4E"/>
    <w:rsid w:val="0083624D"/>
    <w:rsid w:val="008363D3"/>
    <w:rsid w:val="00840931"/>
    <w:rsid w:val="00841AA4"/>
    <w:rsid w:val="00842303"/>
    <w:rsid w:val="008423FD"/>
    <w:rsid w:val="008427A1"/>
    <w:rsid w:val="00842E79"/>
    <w:rsid w:val="00842ECC"/>
    <w:rsid w:val="00844360"/>
    <w:rsid w:val="00845F83"/>
    <w:rsid w:val="00847CFA"/>
    <w:rsid w:val="008500CF"/>
    <w:rsid w:val="00851C68"/>
    <w:rsid w:val="008555A6"/>
    <w:rsid w:val="00856895"/>
    <w:rsid w:val="00861050"/>
    <w:rsid w:val="00861123"/>
    <w:rsid w:val="008650A2"/>
    <w:rsid w:val="00865287"/>
    <w:rsid w:val="00865C2A"/>
    <w:rsid w:val="0086601E"/>
    <w:rsid w:val="00866436"/>
    <w:rsid w:val="00866F04"/>
    <w:rsid w:val="008671DF"/>
    <w:rsid w:val="00867CE8"/>
    <w:rsid w:val="00872222"/>
    <w:rsid w:val="008729CF"/>
    <w:rsid w:val="00873B8C"/>
    <w:rsid w:val="00873F73"/>
    <w:rsid w:val="0087531A"/>
    <w:rsid w:val="00875452"/>
    <w:rsid w:val="008776C9"/>
    <w:rsid w:val="00883097"/>
    <w:rsid w:val="00884612"/>
    <w:rsid w:val="00884B17"/>
    <w:rsid w:val="00884DCF"/>
    <w:rsid w:val="00886126"/>
    <w:rsid w:val="00886FE4"/>
    <w:rsid w:val="00890A6A"/>
    <w:rsid w:val="0089250E"/>
    <w:rsid w:val="00896351"/>
    <w:rsid w:val="00896CE3"/>
    <w:rsid w:val="008971BC"/>
    <w:rsid w:val="008A2978"/>
    <w:rsid w:val="008A2A68"/>
    <w:rsid w:val="008A4F7E"/>
    <w:rsid w:val="008A543E"/>
    <w:rsid w:val="008A60E2"/>
    <w:rsid w:val="008A6123"/>
    <w:rsid w:val="008A653C"/>
    <w:rsid w:val="008A7358"/>
    <w:rsid w:val="008B11B3"/>
    <w:rsid w:val="008B7342"/>
    <w:rsid w:val="008C264D"/>
    <w:rsid w:val="008C5011"/>
    <w:rsid w:val="008C78AA"/>
    <w:rsid w:val="008D0E45"/>
    <w:rsid w:val="008D1627"/>
    <w:rsid w:val="008D442B"/>
    <w:rsid w:val="008D48B2"/>
    <w:rsid w:val="008D4CF5"/>
    <w:rsid w:val="008D52E1"/>
    <w:rsid w:val="008D55B5"/>
    <w:rsid w:val="008D57F4"/>
    <w:rsid w:val="008D5FB1"/>
    <w:rsid w:val="008D613E"/>
    <w:rsid w:val="008D6E70"/>
    <w:rsid w:val="008D7034"/>
    <w:rsid w:val="008E0DCF"/>
    <w:rsid w:val="008E47FC"/>
    <w:rsid w:val="008E67C2"/>
    <w:rsid w:val="008E7C0A"/>
    <w:rsid w:val="008F03DC"/>
    <w:rsid w:val="008F48D2"/>
    <w:rsid w:val="009048B0"/>
    <w:rsid w:val="00904CAA"/>
    <w:rsid w:val="009060E9"/>
    <w:rsid w:val="00906129"/>
    <w:rsid w:val="00906ADB"/>
    <w:rsid w:val="00907836"/>
    <w:rsid w:val="00910890"/>
    <w:rsid w:val="00911FF0"/>
    <w:rsid w:val="00914D25"/>
    <w:rsid w:val="00916A86"/>
    <w:rsid w:val="0091771B"/>
    <w:rsid w:val="009215C8"/>
    <w:rsid w:val="00921B7C"/>
    <w:rsid w:val="0092276E"/>
    <w:rsid w:val="00924A8D"/>
    <w:rsid w:val="00924BB8"/>
    <w:rsid w:val="00924E12"/>
    <w:rsid w:val="00925CE1"/>
    <w:rsid w:val="00927240"/>
    <w:rsid w:val="00927FE8"/>
    <w:rsid w:val="00930BA7"/>
    <w:rsid w:val="00931C30"/>
    <w:rsid w:val="0093209F"/>
    <w:rsid w:val="009333E2"/>
    <w:rsid w:val="00933C16"/>
    <w:rsid w:val="009343C6"/>
    <w:rsid w:val="00935435"/>
    <w:rsid w:val="00937681"/>
    <w:rsid w:val="00940EB4"/>
    <w:rsid w:val="00942305"/>
    <w:rsid w:val="0094240E"/>
    <w:rsid w:val="009427BE"/>
    <w:rsid w:val="00942BB8"/>
    <w:rsid w:val="00943BE7"/>
    <w:rsid w:val="00952192"/>
    <w:rsid w:val="00952CD1"/>
    <w:rsid w:val="009533B3"/>
    <w:rsid w:val="00960BC5"/>
    <w:rsid w:val="00961078"/>
    <w:rsid w:val="00961B5F"/>
    <w:rsid w:val="00962CFB"/>
    <w:rsid w:val="009638C4"/>
    <w:rsid w:val="00965085"/>
    <w:rsid w:val="0096703F"/>
    <w:rsid w:val="009702F4"/>
    <w:rsid w:val="0097632E"/>
    <w:rsid w:val="00980AB4"/>
    <w:rsid w:val="00984167"/>
    <w:rsid w:val="0099014E"/>
    <w:rsid w:val="00990617"/>
    <w:rsid w:val="00992931"/>
    <w:rsid w:val="00994F34"/>
    <w:rsid w:val="00995D25"/>
    <w:rsid w:val="00996EB3"/>
    <w:rsid w:val="009A0574"/>
    <w:rsid w:val="009A1C0D"/>
    <w:rsid w:val="009A3A0D"/>
    <w:rsid w:val="009A5BC5"/>
    <w:rsid w:val="009A5EB5"/>
    <w:rsid w:val="009A6824"/>
    <w:rsid w:val="009B1802"/>
    <w:rsid w:val="009B1937"/>
    <w:rsid w:val="009B1DAD"/>
    <w:rsid w:val="009B54B5"/>
    <w:rsid w:val="009B58DA"/>
    <w:rsid w:val="009B63B4"/>
    <w:rsid w:val="009B6FC3"/>
    <w:rsid w:val="009B77E2"/>
    <w:rsid w:val="009C0DF2"/>
    <w:rsid w:val="009C4D99"/>
    <w:rsid w:val="009C4F67"/>
    <w:rsid w:val="009C541E"/>
    <w:rsid w:val="009D2F85"/>
    <w:rsid w:val="009D509B"/>
    <w:rsid w:val="009D5762"/>
    <w:rsid w:val="009E097B"/>
    <w:rsid w:val="009E1316"/>
    <w:rsid w:val="009E3984"/>
    <w:rsid w:val="009E3D56"/>
    <w:rsid w:val="009E6580"/>
    <w:rsid w:val="009E7CBD"/>
    <w:rsid w:val="009F1DBA"/>
    <w:rsid w:val="009F31CC"/>
    <w:rsid w:val="009F4F29"/>
    <w:rsid w:val="00A043A7"/>
    <w:rsid w:val="00A06320"/>
    <w:rsid w:val="00A06698"/>
    <w:rsid w:val="00A06A87"/>
    <w:rsid w:val="00A06DE4"/>
    <w:rsid w:val="00A0738F"/>
    <w:rsid w:val="00A07D34"/>
    <w:rsid w:val="00A07F65"/>
    <w:rsid w:val="00A10366"/>
    <w:rsid w:val="00A149CF"/>
    <w:rsid w:val="00A21186"/>
    <w:rsid w:val="00A22588"/>
    <w:rsid w:val="00A24250"/>
    <w:rsid w:val="00A248A7"/>
    <w:rsid w:val="00A24BF4"/>
    <w:rsid w:val="00A274FC"/>
    <w:rsid w:val="00A27C03"/>
    <w:rsid w:val="00A307F0"/>
    <w:rsid w:val="00A30AE9"/>
    <w:rsid w:val="00A30F97"/>
    <w:rsid w:val="00A32762"/>
    <w:rsid w:val="00A33216"/>
    <w:rsid w:val="00A345CD"/>
    <w:rsid w:val="00A34654"/>
    <w:rsid w:val="00A34AD5"/>
    <w:rsid w:val="00A34CB0"/>
    <w:rsid w:val="00A363E5"/>
    <w:rsid w:val="00A41915"/>
    <w:rsid w:val="00A4410D"/>
    <w:rsid w:val="00A447D2"/>
    <w:rsid w:val="00A45F0A"/>
    <w:rsid w:val="00A50E76"/>
    <w:rsid w:val="00A514A1"/>
    <w:rsid w:val="00A51BA9"/>
    <w:rsid w:val="00A52DD7"/>
    <w:rsid w:val="00A5341B"/>
    <w:rsid w:val="00A53716"/>
    <w:rsid w:val="00A53D3F"/>
    <w:rsid w:val="00A60D9C"/>
    <w:rsid w:val="00A6687E"/>
    <w:rsid w:val="00A7017F"/>
    <w:rsid w:val="00A75768"/>
    <w:rsid w:val="00A75A6C"/>
    <w:rsid w:val="00A77E02"/>
    <w:rsid w:val="00A8063A"/>
    <w:rsid w:val="00A80EA7"/>
    <w:rsid w:val="00A83E5B"/>
    <w:rsid w:val="00A8419E"/>
    <w:rsid w:val="00A84EA1"/>
    <w:rsid w:val="00A86B33"/>
    <w:rsid w:val="00A86CE3"/>
    <w:rsid w:val="00A87C55"/>
    <w:rsid w:val="00A92CA1"/>
    <w:rsid w:val="00A935FA"/>
    <w:rsid w:val="00A93F9D"/>
    <w:rsid w:val="00A94255"/>
    <w:rsid w:val="00AA15C5"/>
    <w:rsid w:val="00AA2B82"/>
    <w:rsid w:val="00AA6A49"/>
    <w:rsid w:val="00AA73F2"/>
    <w:rsid w:val="00AB03E9"/>
    <w:rsid w:val="00AB77BB"/>
    <w:rsid w:val="00AB7A35"/>
    <w:rsid w:val="00AC0336"/>
    <w:rsid w:val="00AC0E81"/>
    <w:rsid w:val="00AC491F"/>
    <w:rsid w:val="00AC6262"/>
    <w:rsid w:val="00AC7231"/>
    <w:rsid w:val="00AD131C"/>
    <w:rsid w:val="00AD25BE"/>
    <w:rsid w:val="00AD2BFB"/>
    <w:rsid w:val="00AD2E45"/>
    <w:rsid w:val="00AD48E4"/>
    <w:rsid w:val="00AD6DF0"/>
    <w:rsid w:val="00AE245A"/>
    <w:rsid w:val="00AE36DE"/>
    <w:rsid w:val="00AE657D"/>
    <w:rsid w:val="00AF05D4"/>
    <w:rsid w:val="00AF1C6B"/>
    <w:rsid w:val="00AF2D43"/>
    <w:rsid w:val="00AF39C2"/>
    <w:rsid w:val="00AF3B8A"/>
    <w:rsid w:val="00AF4EBF"/>
    <w:rsid w:val="00AF673A"/>
    <w:rsid w:val="00AF6BFA"/>
    <w:rsid w:val="00AF7C05"/>
    <w:rsid w:val="00B016BC"/>
    <w:rsid w:val="00B01A96"/>
    <w:rsid w:val="00B03CB6"/>
    <w:rsid w:val="00B04B27"/>
    <w:rsid w:val="00B05379"/>
    <w:rsid w:val="00B055DD"/>
    <w:rsid w:val="00B055FD"/>
    <w:rsid w:val="00B07930"/>
    <w:rsid w:val="00B1316A"/>
    <w:rsid w:val="00B131F8"/>
    <w:rsid w:val="00B13B8D"/>
    <w:rsid w:val="00B14C2A"/>
    <w:rsid w:val="00B17D33"/>
    <w:rsid w:val="00B2056A"/>
    <w:rsid w:val="00B22F25"/>
    <w:rsid w:val="00B2326C"/>
    <w:rsid w:val="00B245FD"/>
    <w:rsid w:val="00B24B23"/>
    <w:rsid w:val="00B278A8"/>
    <w:rsid w:val="00B27E44"/>
    <w:rsid w:val="00B30263"/>
    <w:rsid w:val="00B327A5"/>
    <w:rsid w:val="00B33460"/>
    <w:rsid w:val="00B33EBA"/>
    <w:rsid w:val="00B348F0"/>
    <w:rsid w:val="00B34B8E"/>
    <w:rsid w:val="00B3580F"/>
    <w:rsid w:val="00B36A57"/>
    <w:rsid w:val="00B36E6A"/>
    <w:rsid w:val="00B4027F"/>
    <w:rsid w:val="00B40C91"/>
    <w:rsid w:val="00B43B4B"/>
    <w:rsid w:val="00B46C1A"/>
    <w:rsid w:val="00B47494"/>
    <w:rsid w:val="00B51A39"/>
    <w:rsid w:val="00B5252E"/>
    <w:rsid w:val="00B54B9F"/>
    <w:rsid w:val="00B5627B"/>
    <w:rsid w:val="00B56669"/>
    <w:rsid w:val="00B56F54"/>
    <w:rsid w:val="00B576FC"/>
    <w:rsid w:val="00B608E3"/>
    <w:rsid w:val="00B61399"/>
    <w:rsid w:val="00B62655"/>
    <w:rsid w:val="00B646F3"/>
    <w:rsid w:val="00B65726"/>
    <w:rsid w:val="00B66281"/>
    <w:rsid w:val="00B67F05"/>
    <w:rsid w:val="00B70949"/>
    <w:rsid w:val="00B7144E"/>
    <w:rsid w:val="00B752EE"/>
    <w:rsid w:val="00B756CC"/>
    <w:rsid w:val="00B7675A"/>
    <w:rsid w:val="00B80182"/>
    <w:rsid w:val="00B801BE"/>
    <w:rsid w:val="00B81457"/>
    <w:rsid w:val="00B84B9B"/>
    <w:rsid w:val="00B84E09"/>
    <w:rsid w:val="00B86A9C"/>
    <w:rsid w:val="00B90D95"/>
    <w:rsid w:val="00B92C84"/>
    <w:rsid w:val="00B96150"/>
    <w:rsid w:val="00B96AC2"/>
    <w:rsid w:val="00B97745"/>
    <w:rsid w:val="00BA3429"/>
    <w:rsid w:val="00BA3EC1"/>
    <w:rsid w:val="00BA544A"/>
    <w:rsid w:val="00BA6875"/>
    <w:rsid w:val="00BA793E"/>
    <w:rsid w:val="00BB29AD"/>
    <w:rsid w:val="00BB2D1A"/>
    <w:rsid w:val="00BB47F4"/>
    <w:rsid w:val="00BB7113"/>
    <w:rsid w:val="00BB72AD"/>
    <w:rsid w:val="00BB7D48"/>
    <w:rsid w:val="00BC1946"/>
    <w:rsid w:val="00BC433B"/>
    <w:rsid w:val="00BC4BDB"/>
    <w:rsid w:val="00BC749F"/>
    <w:rsid w:val="00BD24A5"/>
    <w:rsid w:val="00BD36A9"/>
    <w:rsid w:val="00BD64F9"/>
    <w:rsid w:val="00BD6BD4"/>
    <w:rsid w:val="00BE0423"/>
    <w:rsid w:val="00BE1AF4"/>
    <w:rsid w:val="00BE3B61"/>
    <w:rsid w:val="00BF06DC"/>
    <w:rsid w:val="00BF06F9"/>
    <w:rsid w:val="00BF220E"/>
    <w:rsid w:val="00BF589C"/>
    <w:rsid w:val="00BF5C7E"/>
    <w:rsid w:val="00BF67A0"/>
    <w:rsid w:val="00C0198F"/>
    <w:rsid w:val="00C05421"/>
    <w:rsid w:val="00C054D5"/>
    <w:rsid w:val="00C059AB"/>
    <w:rsid w:val="00C07E39"/>
    <w:rsid w:val="00C10CEF"/>
    <w:rsid w:val="00C10D87"/>
    <w:rsid w:val="00C10FC3"/>
    <w:rsid w:val="00C12B6E"/>
    <w:rsid w:val="00C1338F"/>
    <w:rsid w:val="00C142DD"/>
    <w:rsid w:val="00C14764"/>
    <w:rsid w:val="00C163BB"/>
    <w:rsid w:val="00C1779A"/>
    <w:rsid w:val="00C22059"/>
    <w:rsid w:val="00C23602"/>
    <w:rsid w:val="00C239D5"/>
    <w:rsid w:val="00C30431"/>
    <w:rsid w:val="00C34894"/>
    <w:rsid w:val="00C3527C"/>
    <w:rsid w:val="00C40830"/>
    <w:rsid w:val="00C40B15"/>
    <w:rsid w:val="00C426E7"/>
    <w:rsid w:val="00C4563D"/>
    <w:rsid w:val="00C4609D"/>
    <w:rsid w:val="00C512B7"/>
    <w:rsid w:val="00C54C15"/>
    <w:rsid w:val="00C56F4B"/>
    <w:rsid w:val="00C57743"/>
    <w:rsid w:val="00C6205A"/>
    <w:rsid w:val="00C631D8"/>
    <w:rsid w:val="00C64356"/>
    <w:rsid w:val="00C643B3"/>
    <w:rsid w:val="00C64F3E"/>
    <w:rsid w:val="00C65952"/>
    <w:rsid w:val="00C67DD4"/>
    <w:rsid w:val="00C70210"/>
    <w:rsid w:val="00C730BB"/>
    <w:rsid w:val="00C77750"/>
    <w:rsid w:val="00C80B1B"/>
    <w:rsid w:val="00C81EED"/>
    <w:rsid w:val="00C86A19"/>
    <w:rsid w:val="00C903DE"/>
    <w:rsid w:val="00C92CD0"/>
    <w:rsid w:val="00C94ACF"/>
    <w:rsid w:val="00C95662"/>
    <w:rsid w:val="00CA02CC"/>
    <w:rsid w:val="00CA0309"/>
    <w:rsid w:val="00CA054F"/>
    <w:rsid w:val="00CA2AC2"/>
    <w:rsid w:val="00CA3FD2"/>
    <w:rsid w:val="00CA4995"/>
    <w:rsid w:val="00CA647D"/>
    <w:rsid w:val="00CA7A35"/>
    <w:rsid w:val="00CA7ADD"/>
    <w:rsid w:val="00CA7B3D"/>
    <w:rsid w:val="00CB0DA1"/>
    <w:rsid w:val="00CB263D"/>
    <w:rsid w:val="00CB2727"/>
    <w:rsid w:val="00CB29DC"/>
    <w:rsid w:val="00CB60B4"/>
    <w:rsid w:val="00CB757F"/>
    <w:rsid w:val="00CC0DF6"/>
    <w:rsid w:val="00CC2FA6"/>
    <w:rsid w:val="00CC49E0"/>
    <w:rsid w:val="00CC5850"/>
    <w:rsid w:val="00CD3C72"/>
    <w:rsid w:val="00CD45DA"/>
    <w:rsid w:val="00CD58B9"/>
    <w:rsid w:val="00CD5959"/>
    <w:rsid w:val="00CD7FD7"/>
    <w:rsid w:val="00CE0268"/>
    <w:rsid w:val="00CE026D"/>
    <w:rsid w:val="00CE07E0"/>
    <w:rsid w:val="00CE0F6B"/>
    <w:rsid w:val="00CE1217"/>
    <w:rsid w:val="00CE1D76"/>
    <w:rsid w:val="00CE23A2"/>
    <w:rsid w:val="00CE3227"/>
    <w:rsid w:val="00CE33AD"/>
    <w:rsid w:val="00CE4DCE"/>
    <w:rsid w:val="00CE7C69"/>
    <w:rsid w:val="00CF118A"/>
    <w:rsid w:val="00CF75CF"/>
    <w:rsid w:val="00D00E82"/>
    <w:rsid w:val="00D02610"/>
    <w:rsid w:val="00D045A7"/>
    <w:rsid w:val="00D05785"/>
    <w:rsid w:val="00D061C4"/>
    <w:rsid w:val="00D0631B"/>
    <w:rsid w:val="00D06C06"/>
    <w:rsid w:val="00D07FF3"/>
    <w:rsid w:val="00D108CC"/>
    <w:rsid w:val="00D10A89"/>
    <w:rsid w:val="00D1222F"/>
    <w:rsid w:val="00D12581"/>
    <w:rsid w:val="00D13335"/>
    <w:rsid w:val="00D1541A"/>
    <w:rsid w:val="00D1647E"/>
    <w:rsid w:val="00D170D7"/>
    <w:rsid w:val="00D170EA"/>
    <w:rsid w:val="00D17B42"/>
    <w:rsid w:val="00D20A5F"/>
    <w:rsid w:val="00D20CEF"/>
    <w:rsid w:val="00D20EB2"/>
    <w:rsid w:val="00D21FCC"/>
    <w:rsid w:val="00D243FA"/>
    <w:rsid w:val="00D25E8E"/>
    <w:rsid w:val="00D2748E"/>
    <w:rsid w:val="00D279AB"/>
    <w:rsid w:val="00D30EFC"/>
    <w:rsid w:val="00D32460"/>
    <w:rsid w:val="00D33B49"/>
    <w:rsid w:val="00D34986"/>
    <w:rsid w:val="00D34A2E"/>
    <w:rsid w:val="00D37060"/>
    <w:rsid w:val="00D41BBE"/>
    <w:rsid w:val="00D438B7"/>
    <w:rsid w:val="00D43C44"/>
    <w:rsid w:val="00D46256"/>
    <w:rsid w:val="00D46BAF"/>
    <w:rsid w:val="00D47697"/>
    <w:rsid w:val="00D47B20"/>
    <w:rsid w:val="00D51E8B"/>
    <w:rsid w:val="00D5785F"/>
    <w:rsid w:val="00D625A5"/>
    <w:rsid w:val="00D644C1"/>
    <w:rsid w:val="00D64B3E"/>
    <w:rsid w:val="00D657EE"/>
    <w:rsid w:val="00D65C02"/>
    <w:rsid w:val="00D674F9"/>
    <w:rsid w:val="00D67E96"/>
    <w:rsid w:val="00D716E4"/>
    <w:rsid w:val="00D745E4"/>
    <w:rsid w:val="00D74792"/>
    <w:rsid w:val="00D775C2"/>
    <w:rsid w:val="00D7793D"/>
    <w:rsid w:val="00D801BC"/>
    <w:rsid w:val="00D80D7B"/>
    <w:rsid w:val="00D8120C"/>
    <w:rsid w:val="00D81CA2"/>
    <w:rsid w:val="00D84D25"/>
    <w:rsid w:val="00D8567C"/>
    <w:rsid w:val="00D8775B"/>
    <w:rsid w:val="00D9063A"/>
    <w:rsid w:val="00D91D10"/>
    <w:rsid w:val="00D92791"/>
    <w:rsid w:val="00D94895"/>
    <w:rsid w:val="00D9602B"/>
    <w:rsid w:val="00D979A1"/>
    <w:rsid w:val="00D97B72"/>
    <w:rsid w:val="00DA1CDC"/>
    <w:rsid w:val="00DA7E09"/>
    <w:rsid w:val="00DB3980"/>
    <w:rsid w:val="00DB4587"/>
    <w:rsid w:val="00DB745D"/>
    <w:rsid w:val="00DC11D9"/>
    <w:rsid w:val="00DC1685"/>
    <w:rsid w:val="00DC1ABB"/>
    <w:rsid w:val="00DC1C39"/>
    <w:rsid w:val="00DC322F"/>
    <w:rsid w:val="00DC3417"/>
    <w:rsid w:val="00DC3C1D"/>
    <w:rsid w:val="00DC48DF"/>
    <w:rsid w:val="00DC5D3C"/>
    <w:rsid w:val="00DC5DAA"/>
    <w:rsid w:val="00DC5EF0"/>
    <w:rsid w:val="00DC711A"/>
    <w:rsid w:val="00DD0C3C"/>
    <w:rsid w:val="00DD2F23"/>
    <w:rsid w:val="00DD427E"/>
    <w:rsid w:val="00DD43E2"/>
    <w:rsid w:val="00DD4E52"/>
    <w:rsid w:val="00DD7037"/>
    <w:rsid w:val="00DE0571"/>
    <w:rsid w:val="00DE2206"/>
    <w:rsid w:val="00DE279F"/>
    <w:rsid w:val="00DE3B63"/>
    <w:rsid w:val="00DE589A"/>
    <w:rsid w:val="00DE5E95"/>
    <w:rsid w:val="00DF260F"/>
    <w:rsid w:val="00DF39C8"/>
    <w:rsid w:val="00DF463E"/>
    <w:rsid w:val="00DF75EE"/>
    <w:rsid w:val="00E00983"/>
    <w:rsid w:val="00E010FA"/>
    <w:rsid w:val="00E0116F"/>
    <w:rsid w:val="00E016B3"/>
    <w:rsid w:val="00E04BC6"/>
    <w:rsid w:val="00E05A88"/>
    <w:rsid w:val="00E05B20"/>
    <w:rsid w:val="00E100AD"/>
    <w:rsid w:val="00E1021B"/>
    <w:rsid w:val="00E12DDF"/>
    <w:rsid w:val="00E12EBB"/>
    <w:rsid w:val="00E14800"/>
    <w:rsid w:val="00E2367A"/>
    <w:rsid w:val="00E2417A"/>
    <w:rsid w:val="00E25A48"/>
    <w:rsid w:val="00E3197A"/>
    <w:rsid w:val="00E33325"/>
    <w:rsid w:val="00E348EE"/>
    <w:rsid w:val="00E34983"/>
    <w:rsid w:val="00E3563E"/>
    <w:rsid w:val="00E35A56"/>
    <w:rsid w:val="00E3676B"/>
    <w:rsid w:val="00E378E7"/>
    <w:rsid w:val="00E411CB"/>
    <w:rsid w:val="00E4283F"/>
    <w:rsid w:val="00E42CAC"/>
    <w:rsid w:val="00E431F9"/>
    <w:rsid w:val="00E43B9B"/>
    <w:rsid w:val="00E445F0"/>
    <w:rsid w:val="00E51918"/>
    <w:rsid w:val="00E527E9"/>
    <w:rsid w:val="00E53A3A"/>
    <w:rsid w:val="00E5497E"/>
    <w:rsid w:val="00E54D62"/>
    <w:rsid w:val="00E54E4D"/>
    <w:rsid w:val="00E56CB2"/>
    <w:rsid w:val="00E61CE9"/>
    <w:rsid w:val="00E64162"/>
    <w:rsid w:val="00E665F5"/>
    <w:rsid w:val="00E711EC"/>
    <w:rsid w:val="00E72AE9"/>
    <w:rsid w:val="00E76225"/>
    <w:rsid w:val="00E76922"/>
    <w:rsid w:val="00E80DAA"/>
    <w:rsid w:val="00E827A4"/>
    <w:rsid w:val="00E830F2"/>
    <w:rsid w:val="00E835E1"/>
    <w:rsid w:val="00E838F4"/>
    <w:rsid w:val="00E84931"/>
    <w:rsid w:val="00E86625"/>
    <w:rsid w:val="00E900E3"/>
    <w:rsid w:val="00E92B85"/>
    <w:rsid w:val="00E94AFA"/>
    <w:rsid w:val="00E94DAF"/>
    <w:rsid w:val="00EA156A"/>
    <w:rsid w:val="00EA4E36"/>
    <w:rsid w:val="00EB04B4"/>
    <w:rsid w:val="00EB052B"/>
    <w:rsid w:val="00EB4D14"/>
    <w:rsid w:val="00EB53CC"/>
    <w:rsid w:val="00EB7ADB"/>
    <w:rsid w:val="00EB7B24"/>
    <w:rsid w:val="00EB7D66"/>
    <w:rsid w:val="00EC1231"/>
    <w:rsid w:val="00EC32FB"/>
    <w:rsid w:val="00EC3304"/>
    <w:rsid w:val="00EC41BA"/>
    <w:rsid w:val="00EC7F0C"/>
    <w:rsid w:val="00ED1618"/>
    <w:rsid w:val="00ED198E"/>
    <w:rsid w:val="00ED320E"/>
    <w:rsid w:val="00ED3367"/>
    <w:rsid w:val="00ED38F7"/>
    <w:rsid w:val="00ED4C96"/>
    <w:rsid w:val="00ED6162"/>
    <w:rsid w:val="00EE01AB"/>
    <w:rsid w:val="00EE3F14"/>
    <w:rsid w:val="00EE46E4"/>
    <w:rsid w:val="00EE5822"/>
    <w:rsid w:val="00EE6428"/>
    <w:rsid w:val="00EE74EC"/>
    <w:rsid w:val="00EF03A2"/>
    <w:rsid w:val="00EF0BF1"/>
    <w:rsid w:val="00EF2909"/>
    <w:rsid w:val="00EF6356"/>
    <w:rsid w:val="00EF7EE0"/>
    <w:rsid w:val="00F01CC1"/>
    <w:rsid w:val="00F0234C"/>
    <w:rsid w:val="00F03A99"/>
    <w:rsid w:val="00F06B15"/>
    <w:rsid w:val="00F06E60"/>
    <w:rsid w:val="00F11C75"/>
    <w:rsid w:val="00F11E93"/>
    <w:rsid w:val="00F13563"/>
    <w:rsid w:val="00F14ADB"/>
    <w:rsid w:val="00F15815"/>
    <w:rsid w:val="00F15D7E"/>
    <w:rsid w:val="00F16C1E"/>
    <w:rsid w:val="00F172ED"/>
    <w:rsid w:val="00F17710"/>
    <w:rsid w:val="00F177F9"/>
    <w:rsid w:val="00F21985"/>
    <w:rsid w:val="00F258BA"/>
    <w:rsid w:val="00F259CD"/>
    <w:rsid w:val="00F26617"/>
    <w:rsid w:val="00F2739C"/>
    <w:rsid w:val="00F30D00"/>
    <w:rsid w:val="00F32B4A"/>
    <w:rsid w:val="00F337BC"/>
    <w:rsid w:val="00F36D24"/>
    <w:rsid w:val="00F4056E"/>
    <w:rsid w:val="00F4223A"/>
    <w:rsid w:val="00F43892"/>
    <w:rsid w:val="00F44ECE"/>
    <w:rsid w:val="00F50527"/>
    <w:rsid w:val="00F56F3C"/>
    <w:rsid w:val="00F56F62"/>
    <w:rsid w:val="00F6088B"/>
    <w:rsid w:val="00F60BF3"/>
    <w:rsid w:val="00F61025"/>
    <w:rsid w:val="00F615E4"/>
    <w:rsid w:val="00F653F7"/>
    <w:rsid w:val="00F70470"/>
    <w:rsid w:val="00F736A9"/>
    <w:rsid w:val="00F73B91"/>
    <w:rsid w:val="00F7488F"/>
    <w:rsid w:val="00F748CF"/>
    <w:rsid w:val="00F74DB0"/>
    <w:rsid w:val="00F75F73"/>
    <w:rsid w:val="00F764A4"/>
    <w:rsid w:val="00F77601"/>
    <w:rsid w:val="00F77684"/>
    <w:rsid w:val="00F77C03"/>
    <w:rsid w:val="00F77EB7"/>
    <w:rsid w:val="00F80D91"/>
    <w:rsid w:val="00F81030"/>
    <w:rsid w:val="00F922F1"/>
    <w:rsid w:val="00F937B9"/>
    <w:rsid w:val="00F94272"/>
    <w:rsid w:val="00F94D01"/>
    <w:rsid w:val="00F978F9"/>
    <w:rsid w:val="00F97968"/>
    <w:rsid w:val="00FA2520"/>
    <w:rsid w:val="00FA260D"/>
    <w:rsid w:val="00FA3259"/>
    <w:rsid w:val="00FA3653"/>
    <w:rsid w:val="00FA4325"/>
    <w:rsid w:val="00FA4A57"/>
    <w:rsid w:val="00FA5A5E"/>
    <w:rsid w:val="00FB1AC1"/>
    <w:rsid w:val="00FB305E"/>
    <w:rsid w:val="00FB358A"/>
    <w:rsid w:val="00FB479A"/>
    <w:rsid w:val="00FB5275"/>
    <w:rsid w:val="00FB536E"/>
    <w:rsid w:val="00FB6560"/>
    <w:rsid w:val="00FB683F"/>
    <w:rsid w:val="00FB685C"/>
    <w:rsid w:val="00FB6D0A"/>
    <w:rsid w:val="00FC095F"/>
    <w:rsid w:val="00FC2607"/>
    <w:rsid w:val="00FC3089"/>
    <w:rsid w:val="00FC3ABC"/>
    <w:rsid w:val="00FC4286"/>
    <w:rsid w:val="00FC67B2"/>
    <w:rsid w:val="00FC76D0"/>
    <w:rsid w:val="00FD118C"/>
    <w:rsid w:val="00FD30DA"/>
    <w:rsid w:val="00FD3342"/>
    <w:rsid w:val="00FD427E"/>
    <w:rsid w:val="00FD48AE"/>
    <w:rsid w:val="00FD4C2F"/>
    <w:rsid w:val="00FD4CC4"/>
    <w:rsid w:val="00FD5143"/>
    <w:rsid w:val="00FD6DC5"/>
    <w:rsid w:val="00FD7484"/>
    <w:rsid w:val="00FE0471"/>
    <w:rsid w:val="00FE1F9C"/>
    <w:rsid w:val="00FE49CE"/>
    <w:rsid w:val="00FE7861"/>
    <w:rsid w:val="00FE7B0B"/>
    <w:rsid w:val="00FF29C4"/>
    <w:rsid w:val="00FF4229"/>
    <w:rsid w:val="00FF4DE2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1FC8"/>
    <w:pPr>
      <w:ind w:left="720"/>
      <w:contextualSpacing/>
    </w:pPr>
  </w:style>
  <w:style w:type="character" w:styleId="a4">
    <w:name w:val="Hyperlink"/>
    <w:uiPriority w:val="99"/>
    <w:rsid w:val="00471FC8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471F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1FC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471FC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8A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60E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60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1FC8"/>
    <w:pPr>
      <w:ind w:left="720"/>
      <w:contextualSpacing/>
    </w:pPr>
  </w:style>
  <w:style w:type="character" w:styleId="a4">
    <w:name w:val="Hyperlink"/>
    <w:uiPriority w:val="99"/>
    <w:rsid w:val="00471FC8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471F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1FC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471FC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8A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60E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60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stroy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41;&#1072;&#1079;&#1072;%20&#1076;&#1072;&#1085;&#1085;&#1099;&#1093;%20&#1087;&#1086;%20&#1080;&#1085;&#1092;&#1086;&#1088;&#1084;&#1072;&#1094;&#1080;&#1086;&#1085;&#1085;&#1086;&#1081;%20&#1086;&#1090;&#1082;&#1088;&#1099;&#1090;&#1086;&#1089;&#1090;&#1080;%20_19%20&#1080;&#1102;&#1083;&#1103;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'Сводные индикаторы'!$A$2:$A$26</c:f>
              <c:strCache>
                <c:ptCount val="25"/>
                <c:pt idx="0">
                  <c:v>Самара</c:v>
                </c:pt>
                <c:pt idx="1">
                  <c:v>Краснодар</c:v>
                </c:pt>
                <c:pt idx="2">
                  <c:v>Ростов-на-Дону</c:v>
                </c:pt>
                <c:pt idx="3">
                  <c:v>Королев</c:v>
                </c:pt>
                <c:pt idx="4">
                  <c:v>Владикавказ</c:v>
                </c:pt>
                <c:pt idx="5">
                  <c:v>Волгоград</c:v>
                </c:pt>
                <c:pt idx="6">
                  <c:v>Иркутск</c:v>
                </c:pt>
                <c:pt idx="7">
                  <c:v>Екатеринбург</c:v>
                </c:pt>
                <c:pt idx="8">
                  <c:v>Кемерово</c:v>
                </c:pt>
                <c:pt idx="9">
                  <c:v>Петрозаводск</c:v>
                </c:pt>
                <c:pt idx="10">
                  <c:v>Оренбург</c:v>
                </c:pt>
                <c:pt idx="11">
                  <c:v>Красноярск</c:v>
                </c:pt>
                <c:pt idx="12">
                  <c:v>Благовещенск</c:v>
                </c:pt>
                <c:pt idx="13">
                  <c:v>Иваново</c:v>
                </c:pt>
                <c:pt idx="14">
                  <c:v>Калуга</c:v>
                </c:pt>
                <c:pt idx="15">
                  <c:v>Астрахань</c:v>
                </c:pt>
                <c:pt idx="16">
                  <c:v>Калининград</c:v>
                </c:pt>
                <c:pt idx="17">
                  <c:v>Н.Новгород</c:v>
                </c:pt>
                <c:pt idx="18">
                  <c:v>Воронеж </c:v>
                </c:pt>
                <c:pt idx="19">
                  <c:v>Москва</c:v>
                </c:pt>
                <c:pt idx="20">
                  <c:v>Новосибирск</c:v>
                </c:pt>
                <c:pt idx="21">
                  <c:v>Киров</c:v>
                </c:pt>
                <c:pt idx="22">
                  <c:v>В.Новгород</c:v>
                </c:pt>
                <c:pt idx="23">
                  <c:v>Санк-Петербург</c:v>
                </c:pt>
                <c:pt idx="24">
                  <c:v>Пермь</c:v>
                </c:pt>
              </c:strCache>
            </c:strRef>
          </c:cat>
          <c:val>
            <c:numRef>
              <c:f>'Сводные индикаторы'!$B$2:$B$26</c:f>
              <c:numCache>
                <c:formatCode>0%</c:formatCode>
                <c:ptCount val="25"/>
                <c:pt idx="0">
                  <c:v>0.14583333333333331</c:v>
                </c:pt>
                <c:pt idx="1">
                  <c:v>0.16158333333333336</c:v>
                </c:pt>
                <c:pt idx="2">
                  <c:v>0.18708333333333332</c:v>
                </c:pt>
                <c:pt idx="3">
                  <c:v>0.21908333333333335</c:v>
                </c:pt>
                <c:pt idx="4">
                  <c:v>0.22458333333333336</c:v>
                </c:pt>
                <c:pt idx="5">
                  <c:v>0.22666666666666666</c:v>
                </c:pt>
                <c:pt idx="6">
                  <c:v>0.25083333333333335</c:v>
                </c:pt>
                <c:pt idx="7">
                  <c:v>0.25358333333333333</c:v>
                </c:pt>
                <c:pt idx="8">
                  <c:v>0.25375000000000003</c:v>
                </c:pt>
                <c:pt idx="9">
                  <c:v>0.26491666666666669</c:v>
                </c:pt>
                <c:pt idx="10">
                  <c:v>0.28533333333333333</c:v>
                </c:pt>
                <c:pt idx="11">
                  <c:v>0.28616666666666662</c:v>
                </c:pt>
                <c:pt idx="12">
                  <c:v>0.29500000000000004</c:v>
                </c:pt>
                <c:pt idx="13">
                  <c:v>0.3066666666666667</c:v>
                </c:pt>
                <c:pt idx="14">
                  <c:v>0.307</c:v>
                </c:pt>
                <c:pt idx="15">
                  <c:v>0.34333333333333338</c:v>
                </c:pt>
                <c:pt idx="16">
                  <c:v>0.3470833333333333</c:v>
                </c:pt>
                <c:pt idx="17">
                  <c:v>0.37291666666666667</c:v>
                </c:pt>
                <c:pt idx="18">
                  <c:v>0.37366666666666659</c:v>
                </c:pt>
                <c:pt idx="19">
                  <c:v>0.39250000000000002</c:v>
                </c:pt>
                <c:pt idx="20">
                  <c:v>0.39833333333333337</c:v>
                </c:pt>
                <c:pt idx="21">
                  <c:v>0.45241666666666663</c:v>
                </c:pt>
                <c:pt idx="22">
                  <c:v>0.45958333333333334</c:v>
                </c:pt>
                <c:pt idx="23">
                  <c:v>0.55500000000000016</c:v>
                </c:pt>
                <c:pt idx="24">
                  <c:v>0.67866666666666664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529920"/>
        <c:axId val="105148800"/>
      </c:barChart>
      <c:catAx>
        <c:axId val="128529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148800"/>
        <c:crosses val="autoZero"/>
        <c:auto val="1"/>
        <c:lblAlgn val="ctr"/>
        <c:lblOffset val="100"/>
        <c:noMultiLvlLbl val="0"/>
      </c:catAx>
      <c:valAx>
        <c:axId val="105148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529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'Сводные индикаторы'!$E$2:$E$26</c:f>
              <c:strCache>
                <c:ptCount val="25"/>
                <c:pt idx="0">
                  <c:v>Королев</c:v>
                </c:pt>
                <c:pt idx="1">
                  <c:v>Владикавказ</c:v>
                </c:pt>
                <c:pt idx="2">
                  <c:v>Краснодар</c:v>
                </c:pt>
                <c:pt idx="3">
                  <c:v>Иваново</c:v>
                </c:pt>
                <c:pt idx="4">
                  <c:v>Волгоград</c:v>
                </c:pt>
                <c:pt idx="5">
                  <c:v>Самара</c:v>
                </c:pt>
                <c:pt idx="6">
                  <c:v>Красноярск</c:v>
                </c:pt>
                <c:pt idx="7">
                  <c:v>Екатеринбург</c:v>
                </c:pt>
                <c:pt idx="8">
                  <c:v>Ростов-на-Дону</c:v>
                </c:pt>
                <c:pt idx="9">
                  <c:v>Калуга</c:v>
                </c:pt>
                <c:pt idx="10">
                  <c:v>Иркутск</c:v>
                </c:pt>
                <c:pt idx="11">
                  <c:v>Оренбург</c:v>
                </c:pt>
                <c:pt idx="12">
                  <c:v>Кемерово</c:v>
                </c:pt>
                <c:pt idx="13">
                  <c:v>Москва</c:v>
                </c:pt>
                <c:pt idx="14">
                  <c:v>Благовещенск</c:v>
                </c:pt>
                <c:pt idx="15">
                  <c:v>Н.Новгород</c:v>
                </c:pt>
                <c:pt idx="16">
                  <c:v>Петрозаводск</c:v>
                </c:pt>
                <c:pt idx="17">
                  <c:v>Воронеж </c:v>
                </c:pt>
                <c:pt idx="18">
                  <c:v>Калининград</c:v>
                </c:pt>
                <c:pt idx="19">
                  <c:v>Астрахань</c:v>
                </c:pt>
                <c:pt idx="20">
                  <c:v>В.Новгород</c:v>
                </c:pt>
                <c:pt idx="21">
                  <c:v>Киров</c:v>
                </c:pt>
                <c:pt idx="22">
                  <c:v>Новосибирск</c:v>
                </c:pt>
                <c:pt idx="23">
                  <c:v>Санк-Петербург</c:v>
                </c:pt>
                <c:pt idx="24">
                  <c:v>Пермь</c:v>
                </c:pt>
              </c:strCache>
            </c:strRef>
          </c:cat>
          <c:val>
            <c:numRef>
              <c:f>'Сводные индикаторы'!$F$2:$F$26</c:f>
              <c:numCache>
                <c:formatCode>0%</c:formatCode>
                <c:ptCount val="25"/>
                <c:pt idx="0">
                  <c:v>0</c:v>
                </c:pt>
                <c:pt idx="1">
                  <c:v>4.0000000000000008E-2</c:v>
                </c:pt>
                <c:pt idx="2">
                  <c:v>4.0000000000000008E-2</c:v>
                </c:pt>
                <c:pt idx="3">
                  <c:v>6.25E-2</c:v>
                </c:pt>
                <c:pt idx="4">
                  <c:v>7.5000000000000011E-2</c:v>
                </c:pt>
                <c:pt idx="5">
                  <c:v>0.1</c:v>
                </c:pt>
                <c:pt idx="6">
                  <c:v>0.11500000000000002</c:v>
                </c:pt>
                <c:pt idx="7">
                  <c:v>0.12499999999999999</c:v>
                </c:pt>
                <c:pt idx="8">
                  <c:v>0.125</c:v>
                </c:pt>
                <c:pt idx="9">
                  <c:v>0.15000000000000002</c:v>
                </c:pt>
                <c:pt idx="10">
                  <c:v>0.2</c:v>
                </c:pt>
                <c:pt idx="11">
                  <c:v>0.2</c:v>
                </c:pt>
                <c:pt idx="12">
                  <c:v>0.25</c:v>
                </c:pt>
                <c:pt idx="13">
                  <c:v>0.25</c:v>
                </c:pt>
                <c:pt idx="14">
                  <c:v>0.27500000000000002</c:v>
                </c:pt>
                <c:pt idx="15">
                  <c:v>0.28749999999999998</c:v>
                </c:pt>
                <c:pt idx="16">
                  <c:v>0.30000000000000004</c:v>
                </c:pt>
                <c:pt idx="17">
                  <c:v>0.30999999999999994</c:v>
                </c:pt>
                <c:pt idx="18">
                  <c:v>0.33499999999999996</c:v>
                </c:pt>
                <c:pt idx="19">
                  <c:v>0.35000000000000003</c:v>
                </c:pt>
                <c:pt idx="20">
                  <c:v>0.35000000000000003</c:v>
                </c:pt>
                <c:pt idx="21">
                  <c:v>0.4</c:v>
                </c:pt>
                <c:pt idx="22">
                  <c:v>0.55000000000000004</c:v>
                </c:pt>
                <c:pt idx="23">
                  <c:v>0.55000000000000004</c:v>
                </c:pt>
                <c:pt idx="24">
                  <c:v>0.875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5159680"/>
        <c:axId val="129968000"/>
      </c:barChart>
      <c:catAx>
        <c:axId val="10515968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968000"/>
        <c:crosses val="autoZero"/>
        <c:auto val="1"/>
        <c:lblAlgn val="ctr"/>
        <c:lblOffset val="100"/>
        <c:noMultiLvlLbl val="0"/>
      </c:catAx>
      <c:valAx>
        <c:axId val="1299680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1596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'Сводные индикаторы'!$I$2:$I$26</c:f>
              <c:strCache>
                <c:ptCount val="25"/>
                <c:pt idx="0">
                  <c:v>Самара</c:v>
                </c:pt>
                <c:pt idx="1">
                  <c:v>Петрозаводск</c:v>
                </c:pt>
                <c:pt idx="2">
                  <c:v>Новосибирск</c:v>
                </c:pt>
                <c:pt idx="3">
                  <c:v>Ростов-на-Дону</c:v>
                </c:pt>
                <c:pt idx="4">
                  <c:v>Кемерово</c:v>
                </c:pt>
                <c:pt idx="5">
                  <c:v>Краснодар</c:v>
                </c:pt>
                <c:pt idx="6">
                  <c:v>Иркутск</c:v>
                </c:pt>
                <c:pt idx="7">
                  <c:v>Благовещенск</c:v>
                </c:pt>
                <c:pt idx="8">
                  <c:v>Астрахань</c:v>
                </c:pt>
                <c:pt idx="9">
                  <c:v>Калининград</c:v>
                </c:pt>
                <c:pt idx="10">
                  <c:v>Оренбург</c:v>
                </c:pt>
                <c:pt idx="11">
                  <c:v>Волгоград</c:v>
                </c:pt>
                <c:pt idx="12">
                  <c:v>Екатеринбург</c:v>
                </c:pt>
                <c:pt idx="13">
                  <c:v>Владикавказ</c:v>
                </c:pt>
                <c:pt idx="14">
                  <c:v>Воронеж </c:v>
                </c:pt>
                <c:pt idx="15">
                  <c:v>Королев</c:v>
                </c:pt>
                <c:pt idx="16">
                  <c:v>Красноярск</c:v>
                </c:pt>
                <c:pt idx="17">
                  <c:v>Н.Новгород</c:v>
                </c:pt>
                <c:pt idx="18">
                  <c:v>Калуга</c:v>
                </c:pt>
                <c:pt idx="19">
                  <c:v>Пермь</c:v>
                </c:pt>
                <c:pt idx="20">
                  <c:v>Киров</c:v>
                </c:pt>
                <c:pt idx="21">
                  <c:v>Москва</c:v>
                </c:pt>
                <c:pt idx="22">
                  <c:v>Иваново</c:v>
                </c:pt>
                <c:pt idx="23">
                  <c:v>Санк-Петербург</c:v>
                </c:pt>
                <c:pt idx="24">
                  <c:v>В.Новгород</c:v>
                </c:pt>
              </c:strCache>
            </c:strRef>
          </c:cat>
          <c:val>
            <c:numRef>
              <c:f>'Сводные индикаторы'!$J$2:$J$26</c:f>
              <c:numCache>
                <c:formatCode>0%</c:formatCode>
                <c:ptCount val="25"/>
                <c:pt idx="0">
                  <c:v>0.19166666666666665</c:v>
                </c:pt>
                <c:pt idx="1">
                  <c:v>0.22983333333333333</c:v>
                </c:pt>
                <c:pt idx="2">
                  <c:v>0.24666666666666667</c:v>
                </c:pt>
                <c:pt idx="3">
                  <c:v>0.24916666666666668</c:v>
                </c:pt>
                <c:pt idx="4">
                  <c:v>0.25750000000000001</c:v>
                </c:pt>
                <c:pt idx="5">
                  <c:v>0.28316666666666668</c:v>
                </c:pt>
                <c:pt idx="6">
                  <c:v>0.30166666666666669</c:v>
                </c:pt>
                <c:pt idx="7">
                  <c:v>0.31500000000000006</c:v>
                </c:pt>
                <c:pt idx="8">
                  <c:v>0.33666666666666667</c:v>
                </c:pt>
                <c:pt idx="9">
                  <c:v>0.35916666666666669</c:v>
                </c:pt>
                <c:pt idx="10">
                  <c:v>0.37066666666666664</c:v>
                </c:pt>
                <c:pt idx="11">
                  <c:v>0.3783333333333333</c:v>
                </c:pt>
                <c:pt idx="12">
                  <c:v>0.38216666666666665</c:v>
                </c:pt>
                <c:pt idx="13">
                  <c:v>0.40916666666666668</c:v>
                </c:pt>
                <c:pt idx="14">
                  <c:v>0.4373333333333333</c:v>
                </c:pt>
                <c:pt idx="15">
                  <c:v>0.4381666666666667</c:v>
                </c:pt>
                <c:pt idx="16">
                  <c:v>0.45733333333333326</c:v>
                </c:pt>
                <c:pt idx="17">
                  <c:v>0.45833333333333331</c:v>
                </c:pt>
                <c:pt idx="18">
                  <c:v>0.46399999999999997</c:v>
                </c:pt>
                <c:pt idx="19">
                  <c:v>0.48233333333333334</c:v>
                </c:pt>
                <c:pt idx="20">
                  <c:v>0.50483333333333325</c:v>
                </c:pt>
                <c:pt idx="21">
                  <c:v>0.53500000000000003</c:v>
                </c:pt>
                <c:pt idx="22">
                  <c:v>0.5508333333333334</c:v>
                </c:pt>
                <c:pt idx="23">
                  <c:v>0.56000000000000016</c:v>
                </c:pt>
                <c:pt idx="24">
                  <c:v>0.5691666666666666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0007424"/>
        <c:axId val="130010112"/>
      </c:barChart>
      <c:catAx>
        <c:axId val="1300074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010112"/>
        <c:crosses val="autoZero"/>
        <c:auto val="1"/>
        <c:lblAlgn val="ctr"/>
        <c:lblOffset val="100"/>
        <c:noMultiLvlLbl val="0"/>
      </c:catAx>
      <c:valAx>
        <c:axId val="1300101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0074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2"/>
          <c:order val="1"/>
          <c:tx>
            <c:strRef>
              <c:f>ИТОГ!$AC$2</c:f>
              <c:strCache>
                <c:ptCount val="1"/>
                <c:pt idx="0">
                  <c:v>МИН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ИТОГ!$AC$16:$AC$19</c:f>
              <c:numCache>
                <c:formatCode>0%</c:formatCode>
                <c:ptCount val="4"/>
                <c:pt idx="0">
                  <c:v>3.3333333333333333E-2</c:v>
                </c:pt>
                <c:pt idx="1">
                  <c:v>0</c:v>
                </c:pt>
                <c:pt idx="2">
                  <c:v>4.7222222222222228E-2</c:v>
                </c:pt>
                <c:pt idx="3">
                  <c:v>1.6666666666666666E-2</c:v>
                </c:pt>
              </c:numCache>
            </c:numRef>
          </c:val>
        </c:ser>
        <c:ser>
          <c:idx val="0"/>
          <c:order val="2"/>
          <c:tx>
            <c:strRef>
              <c:f>ИТОГ!$AA$2</c:f>
              <c:strCache>
                <c:ptCount val="1"/>
                <c:pt idx="0">
                  <c:v>Среднее значение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ИТОГ!$AA$16:$AA$19</c:f>
              <c:numCache>
                <c:formatCode>0%</c:formatCode>
                <c:ptCount val="4"/>
                <c:pt idx="0">
                  <c:v>0.41473333333333334</c:v>
                </c:pt>
                <c:pt idx="1">
                  <c:v>0.4028666666666666</c:v>
                </c:pt>
                <c:pt idx="2">
                  <c:v>0.50640000000000018</c:v>
                </c:pt>
                <c:pt idx="3">
                  <c:v>0.29190000000000005</c:v>
                </c:pt>
              </c:numCache>
            </c:numRef>
          </c:val>
        </c:ser>
        <c:ser>
          <c:idx val="3"/>
          <c:order val="3"/>
          <c:tx>
            <c:strRef>
              <c:f>ИТОГ!$AD$2</c:f>
              <c:strCache>
                <c:ptCount val="1"/>
                <c:pt idx="0">
                  <c:v>МАКС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ИТОГ!$AD$16:$AD$19</c:f>
              <c:numCache>
                <c:formatCode>0%</c:formatCode>
                <c:ptCount val="4"/>
                <c:pt idx="0">
                  <c:v>0.66666666666666663</c:v>
                </c:pt>
                <c:pt idx="1">
                  <c:v>0.70833333333333337</c:v>
                </c:pt>
                <c:pt idx="2">
                  <c:v>0.70833333333333337</c:v>
                </c:pt>
                <c:pt idx="3">
                  <c:v>0.56041666666666679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06176"/>
        <c:axId val="129933696"/>
      </c:barChart>
      <c:lineChart>
        <c:grouping val="standard"/>
        <c:varyColors val="0"/>
        <c:ser>
          <c:idx val="1"/>
          <c:order val="0"/>
          <c:tx>
            <c:strRef>
              <c:f>ИТОГ!$AB$2</c:f>
              <c:strCache>
                <c:ptCount val="1"/>
                <c:pt idx="0">
                  <c:v>Коэффициент вариации</c:v>
                </c:pt>
              </c:strCache>
            </c:strRef>
          </c:tx>
          <c:dLbls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ИТОГ!$A$16:$A$19</c:f>
              <c:strCache>
                <c:ptCount val="4"/>
                <c:pt idx="0">
                  <c:v>Федеральный орган исполнительной власти (Росреестр)</c:v>
                </c:pt>
                <c:pt idx="1">
                  <c:v>Органы исполнительной власти субъектов РФ</c:v>
                </c:pt>
                <c:pt idx="2">
                  <c:v>Органы местного самоуправления</c:v>
                </c:pt>
                <c:pt idx="3">
                  <c:v>Оганизации коммунального комплекса</c:v>
                </c:pt>
              </c:strCache>
            </c:strRef>
          </c:cat>
          <c:val>
            <c:numRef>
              <c:f>ИТОГ!$AB$16:$AB$19</c:f>
              <c:numCache>
                <c:formatCode>0%</c:formatCode>
                <c:ptCount val="4"/>
                <c:pt idx="0">
                  <c:v>0.42026839301675412</c:v>
                </c:pt>
                <c:pt idx="1">
                  <c:v>0.48971307744309484</c:v>
                </c:pt>
                <c:pt idx="2">
                  <c:v>0.37588973521087771</c:v>
                </c:pt>
                <c:pt idx="3">
                  <c:v>0.4497901957441558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906176"/>
        <c:axId val="129933696"/>
      </c:lineChart>
      <c:catAx>
        <c:axId val="129906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933696"/>
        <c:crosses val="autoZero"/>
        <c:auto val="1"/>
        <c:lblAlgn val="ctr"/>
        <c:lblOffset val="100"/>
        <c:noMultiLvlLbl val="0"/>
      </c:catAx>
      <c:valAx>
        <c:axId val="12993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99061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v>Доступна</c:v>
          </c:tx>
          <c:invertIfNegative val="0"/>
          <c:cat>
            <c:strRef>
              <c:f>Доступность!$AG$71:$AG$73</c:f>
              <c:strCache>
                <c:ptCount val="3"/>
                <c:pt idx="0">
                  <c:v>Генеральный план</c:v>
                </c:pt>
                <c:pt idx="1">
                  <c:v>Правила землепользования и застройки</c:v>
                </c:pt>
                <c:pt idx="2">
                  <c:v>Общий перечень требований к реализации проектов жилищного строительства</c:v>
                </c:pt>
              </c:strCache>
            </c:strRef>
          </c:cat>
          <c:val>
            <c:numRef>
              <c:f>Доступность!$AH$71:$AH$73</c:f>
              <c:numCache>
                <c:formatCode>General</c:formatCode>
                <c:ptCount val="3"/>
                <c:pt idx="0">
                  <c:v>21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v>Не доступна</c:v>
          </c:tx>
          <c:invertIfNegative val="0"/>
          <c:cat>
            <c:strRef>
              <c:f>Доступность!$AG$71:$AG$73</c:f>
              <c:strCache>
                <c:ptCount val="3"/>
                <c:pt idx="0">
                  <c:v>Генеральный план</c:v>
                </c:pt>
                <c:pt idx="1">
                  <c:v>Правила землепользования и застройки</c:v>
                </c:pt>
                <c:pt idx="2">
                  <c:v>Общий перечень требований к реализации проектов жилищного строительства</c:v>
                </c:pt>
              </c:strCache>
            </c:strRef>
          </c:cat>
          <c:val>
            <c:numRef>
              <c:f>Доступность!$AK$71:$AK$73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24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serLines/>
        <c:axId val="226333056"/>
        <c:axId val="226334592"/>
      </c:barChart>
      <c:catAx>
        <c:axId val="226333056"/>
        <c:scaling>
          <c:orientation val="minMax"/>
        </c:scaling>
        <c:delete val="0"/>
        <c:axPos val="b"/>
        <c:majorTickMark val="out"/>
        <c:minorTickMark val="none"/>
        <c:tickLblPos val="nextTo"/>
        <c:crossAx val="226334592"/>
        <c:crosses val="autoZero"/>
        <c:auto val="1"/>
        <c:lblAlgn val="ctr"/>
        <c:lblOffset val="100"/>
        <c:noMultiLvlLbl val="0"/>
      </c:catAx>
      <c:valAx>
        <c:axId val="226334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63330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8678950555658587E-2"/>
          <c:y val="2.8758164014582057E-2"/>
          <c:w val="0.93525899403243473"/>
          <c:h val="0.86904863684146516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ИТОГ!$AC$2</c:f>
              <c:strCache>
                <c:ptCount val="1"/>
                <c:pt idx="0">
                  <c:v>МИН</c:v>
                </c:pt>
              </c:strCache>
            </c:strRef>
          </c:tx>
          <c:invertIfNegative val="0"/>
          <c:cat>
            <c:strRef>
              <c:f>ИТОГ!$A$5:$A$14</c:f>
              <c:strCache>
                <c:ptCount val="10"/>
                <c:pt idx="0">
                  <c:v>Получение ГПЗУ</c:v>
                </c:pt>
                <c:pt idx="1">
                  <c:v>Получение заключения государственной экспертизы проектной документации и результатов инженерных изысканий</c:v>
                </c:pt>
                <c:pt idx="2">
                  <c:v>Заключение договора на технологическое присоединение к электрическим сетям</c:v>
                </c:pt>
                <c:pt idx="3">
                  <c:v>Получение ТУ на присоединение к электрическим сетям</c:v>
                </c:pt>
                <c:pt idx="4">
                  <c:v>Заключение договора на подключение к сетям водоснабжения и водоотведения</c:v>
                </c:pt>
                <c:pt idx="5">
                  <c:v>Получение ТУ на подключение к сетям водоснабжения и водоотведения</c:v>
                </c:pt>
                <c:pt idx="6">
                  <c:v>Получение разрешения на строительство</c:v>
                </c:pt>
                <c:pt idx="7">
                  <c:v>Получение заключения государственного строительного надзора</c:v>
                </c:pt>
                <c:pt idx="8">
                  <c:v>Получение разрешения на ввод объекта в эксплуатацию</c:v>
                </c:pt>
                <c:pt idx="9">
                  <c:v>Регистрация прав собственности на объекты недвижимости</c:v>
                </c:pt>
              </c:strCache>
            </c:strRef>
          </c:cat>
          <c:val>
            <c:numRef>
              <c:f>ИТОГ!$AC$5:$AC$14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3.3333333333333333E-2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3.3333333333333333E-2</c:v>
                </c:pt>
              </c:numCache>
            </c:numRef>
          </c:val>
        </c:ser>
        <c:ser>
          <c:idx val="0"/>
          <c:order val="1"/>
          <c:tx>
            <c:strRef>
              <c:f>ИТОГ!$AA$2</c:f>
              <c:strCache>
                <c:ptCount val="1"/>
                <c:pt idx="0">
                  <c:v>Среднее значение</c:v>
                </c:pt>
              </c:strCache>
            </c:strRef>
          </c:tx>
          <c:invertIfNegative val="0"/>
          <c:cat>
            <c:strRef>
              <c:f>ИТОГ!$A$5:$A$14</c:f>
              <c:strCache>
                <c:ptCount val="10"/>
                <c:pt idx="0">
                  <c:v>Получение ГПЗУ</c:v>
                </c:pt>
                <c:pt idx="1">
                  <c:v>Получение заключения государственной экспертизы проектной документации и результатов инженерных изысканий</c:v>
                </c:pt>
                <c:pt idx="2">
                  <c:v>Заключение договора на технологическое присоединение к электрическим сетям</c:v>
                </c:pt>
                <c:pt idx="3">
                  <c:v>Получение ТУ на присоединение к электрическим сетям</c:v>
                </c:pt>
                <c:pt idx="4">
                  <c:v>Заключение договора на подключение к сетям водоснабжения и водоотведения</c:v>
                </c:pt>
                <c:pt idx="5">
                  <c:v>Получение ТУ на подключение к сетям водоснабжения и водоотведения</c:v>
                </c:pt>
                <c:pt idx="6">
                  <c:v>Получение разрешения на строительство</c:v>
                </c:pt>
                <c:pt idx="7">
                  <c:v>Получение заключения государственного строительного надзора</c:v>
                </c:pt>
                <c:pt idx="8">
                  <c:v>Получение разрешения на ввод объекта в эксплуатацию</c:v>
                </c:pt>
                <c:pt idx="9">
                  <c:v>Регистрация прав собственности на объекты недвижимости</c:v>
                </c:pt>
              </c:strCache>
            </c:strRef>
          </c:cat>
          <c:val>
            <c:numRef>
              <c:f>ИТОГ!$AA$5:$AA$14</c:f>
              <c:numCache>
                <c:formatCode>0%</c:formatCode>
                <c:ptCount val="10"/>
                <c:pt idx="0">
                  <c:v>0.45160000000000006</c:v>
                </c:pt>
                <c:pt idx="1">
                  <c:v>0.37759999999999999</c:v>
                </c:pt>
                <c:pt idx="2">
                  <c:v>0.41499999999999998</c:v>
                </c:pt>
                <c:pt idx="3">
                  <c:v>0.33500000000000013</c:v>
                </c:pt>
                <c:pt idx="4">
                  <c:v>0.17126666666666668</c:v>
                </c:pt>
                <c:pt idx="5">
                  <c:v>0.24633333333333329</c:v>
                </c:pt>
                <c:pt idx="6">
                  <c:v>0.53633333333333333</c:v>
                </c:pt>
                <c:pt idx="7">
                  <c:v>0.42813333333333342</c:v>
                </c:pt>
                <c:pt idx="8">
                  <c:v>0.53126666666666666</c:v>
                </c:pt>
                <c:pt idx="9">
                  <c:v>0.41473333333333334</c:v>
                </c:pt>
              </c:numCache>
            </c:numRef>
          </c:val>
        </c:ser>
        <c:ser>
          <c:idx val="3"/>
          <c:order val="2"/>
          <c:tx>
            <c:strRef>
              <c:f>ИТОГ!$AD$2</c:f>
              <c:strCache>
                <c:ptCount val="1"/>
                <c:pt idx="0">
                  <c:v>МАКС</c:v>
                </c:pt>
              </c:strCache>
            </c:strRef>
          </c:tx>
          <c:invertIfNegative val="0"/>
          <c:cat>
            <c:strRef>
              <c:f>ИТОГ!$A$5:$A$14</c:f>
              <c:strCache>
                <c:ptCount val="10"/>
                <c:pt idx="0">
                  <c:v>Получение ГПЗУ</c:v>
                </c:pt>
                <c:pt idx="1">
                  <c:v>Получение заключения государственной экспертизы проектной документации и результатов инженерных изысканий</c:v>
                </c:pt>
                <c:pt idx="2">
                  <c:v>Заключение договора на технологическое присоединение к электрическим сетям</c:v>
                </c:pt>
                <c:pt idx="3">
                  <c:v>Получение ТУ на присоединение к электрическим сетям</c:v>
                </c:pt>
                <c:pt idx="4">
                  <c:v>Заключение договора на подключение к сетям водоснабжения и водоотведения</c:v>
                </c:pt>
                <c:pt idx="5">
                  <c:v>Получение ТУ на подключение к сетям водоснабжения и водоотведения</c:v>
                </c:pt>
                <c:pt idx="6">
                  <c:v>Получение разрешения на строительство</c:v>
                </c:pt>
                <c:pt idx="7">
                  <c:v>Получение заключения государственного строительного надзора</c:v>
                </c:pt>
                <c:pt idx="8">
                  <c:v>Получение разрешения на ввод объекта в эксплуатацию</c:v>
                </c:pt>
                <c:pt idx="9">
                  <c:v>Регистрация прав собственности на объекты недвижимости</c:v>
                </c:pt>
              </c:strCache>
            </c:strRef>
          </c:cat>
          <c:val>
            <c:numRef>
              <c:f>ИТОГ!$AD$5:$AD$14</c:f>
              <c:numCache>
                <c:formatCode>0%</c:formatCode>
                <c:ptCount val="10"/>
                <c:pt idx="0">
                  <c:v>0.79166666666666663</c:v>
                </c:pt>
                <c:pt idx="1">
                  <c:v>0.70833333333333337</c:v>
                </c:pt>
                <c:pt idx="2">
                  <c:v>0.64166666666666672</c:v>
                </c:pt>
                <c:pt idx="3">
                  <c:v>0.66666666666666663</c:v>
                </c:pt>
                <c:pt idx="4">
                  <c:v>0.6166666666666667</c:v>
                </c:pt>
                <c:pt idx="5">
                  <c:v>0.83333333333333337</c:v>
                </c:pt>
                <c:pt idx="6">
                  <c:v>0.70833333333333337</c:v>
                </c:pt>
                <c:pt idx="7">
                  <c:v>0.83333333333333337</c:v>
                </c:pt>
                <c:pt idx="8">
                  <c:v>0.70833333333333337</c:v>
                </c:pt>
                <c:pt idx="9">
                  <c:v>0.66666666666666663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5106304"/>
        <c:axId val="215107840"/>
      </c:barChart>
      <c:catAx>
        <c:axId val="215106304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15107840"/>
        <c:crosses val="autoZero"/>
        <c:auto val="1"/>
        <c:lblAlgn val="ctr"/>
        <c:lblOffset val="100"/>
        <c:noMultiLvlLbl val="0"/>
      </c:catAx>
      <c:valAx>
        <c:axId val="215107840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crossAx val="2151063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v>Доступна</c:v>
          </c:tx>
          <c:invertIfNegative val="0"/>
          <c:cat>
            <c:strRef>
              <c:f>Доступность!$AH$16:$AH$20</c:f>
              <c:strCache>
                <c:ptCount val="5"/>
                <c:pt idx="0">
                  <c:v>Информация о перечне необходмых документов</c:v>
                </c:pt>
                <c:pt idx="1">
                  <c:v>Информация об адресе, по которому необходимо подать документы</c:v>
                </c:pt>
                <c:pt idx="2">
                  <c:v>Информация о сроке прохождения процедуры</c:v>
                </c:pt>
                <c:pt idx="3">
                  <c:v>Информация о стоимости прохождения процедуры </c:v>
                </c:pt>
                <c:pt idx="4">
                  <c:v>Информация о возможности прохождения процедуры в электронной форме</c:v>
                </c:pt>
              </c:strCache>
            </c:strRef>
          </c:cat>
          <c:val>
            <c:numRef>
              <c:f>Доступность!$AI$16:$AI$20</c:f>
              <c:numCache>
                <c:formatCode>0</c:formatCode>
                <c:ptCount val="5"/>
                <c:pt idx="0">
                  <c:v>19.2</c:v>
                </c:pt>
                <c:pt idx="1">
                  <c:v>21.8</c:v>
                </c:pt>
                <c:pt idx="2">
                  <c:v>14.2</c:v>
                </c:pt>
                <c:pt idx="3">
                  <c:v>15.2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Не доступна</c:v>
          </c:tx>
          <c:invertIfNegative val="0"/>
          <c:cat>
            <c:strRef>
              <c:f>Доступность!$AH$16:$AH$20</c:f>
              <c:strCache>
                <c:ptCount val="5"/>
                <c:pt idx="0">
                  <c:v>Информация о перечне необходмых документов</c:v>
                </c:pt>
                <c:pt idx="1">
                  <c:v>Информация об адресе, по которому необходимо подать документы</c:v>
                </c:pt>
                <c:pt idx="2">
                  <c:v>Информация о сроке прохождения процедуры</c:v>
                </c:pt>
                <c:pt idx="3">
                  <c:v>Информация о стоимости прохождения процедуры </c:v>
                </c:pt>
                <c:pt idx="4">
                  <c:v>Информация о возможности прохождения процедуры в электронной форме</c:v>
                </c:pt>
              </c:strCache>
            </c:strRef>
          </c:cat>
          <c:val>
            <c:numRef>
              <c:f>Доступность!$AL$16:$AL$20</c:f>
              <c:numCache>
                <c:formatCode>0</c:formatCode>
                <c:ptCount val="5"/>
                <c:pt idx="0">
                  <c:v>5.8</c:v>
                </c:pt>
                <c:pt idx="1">
                  <c:v>3.2</c:v>
                </c:pt>
                <c:pt idx="2">
                  <c:v>10.8</c:v>
                </c:pt>
                <c:pt idx="3">
                  <c:v>9.8000000000000007</c:v>
                </c:pt>
                <c:pt idx="4">
                  <c:v>25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14703488"/>
        <c:axId val="215000192"/>
      </c:barChart>
      <c:catAx>
        <c:axId val="214703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15000192"/>
        <c:crosses val="autoZero"/>
        <c:auto val="1"/>
        <c:lblAlgn val="ctr"/>
        <c:lblOffset val="100"/>
        <c:noMultiLvlLbl val="0"/>
      </c:catAx>
      <c:valAx>
        <c:axId val="215000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7034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Polidi</dc:creator>
  <cp:keywords/>
  <dc:description/>
  <cp:lastModifiedBy>Tatyana Polidi</cp:lastModifiedBy>
  <cp:revision>2</cp:revision>
  <dcterms:created xsi:type="dcterms:W3CDTF">2012-07-27T15:47:00Z</dcterms:created>
  <dcterms:modified xsi:type="dcterms:W3CDTF">2012-07-27T16:45:00Z</dcterms:modified>
</cp:coreProperties>
</file>