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4C" w:rsidRPr="00B7234C" w:rsidRDefault="00B7234C" w:rsidP="00B7234C">
      <w:bookmarkStart w:id="0" w:name="_GoBack"/>
      <w:bookmarkEnd w:id="0"/>
      <w:r>
        <w:t>Настоящее выступление освещает работу по разработке</w:t>
      </w:r>
      <w:r w:rsidRPr="00B7234C">
        <w:t xml:space="preserve"> предложений по расширению инструментов градостроительной и жилищной политики в целях увеличения предложения доступного жилья в российских городах.</w:t>
      </w:r>
    </w:p>
    <w:p w:rsidR="00B7234C" w:rsidRDefault="00B7234C" w:rsidP="00B7234C"/>
    <w:p w:rsidR="00B7234C" w:rsidRPr="00B7234C" w:rsidRDefault="00B7234C" w:rsidP="00B7234C">
      <w:proofErr w:type="gramStart"/>
      <w:r w:rsidRPr="00B7234C">
        <w:t>На перв</w:t>
      </w:r>
      <w:r>
        <w:t xml:space="preserve">ом этапе исследований </w:t>
      </w:r>
      <w:r w:rsidRPr="00B7234C">
        <w:t>был проведен сравнительный анализ существующих в России (в том числе на примере выбранных городов) и зарубежных странах практик реализации градостроительной и жилищной политики в целях увеличения предложения доступного жилья для семей с невысокими и низкими доходами и регуляторных (правовых, экономических, административных) механизмов стимулирования увеличения предложения доступного жилья.</w:t>
      </w:r>
      <w:proofErr w:type="gramEnd"/>
      <w:r w:rsidRPr="00B7234C">
        <w:t xml:space="preserve"> </w:t>
      </w:r>
      <w:proofErr w:type="gramStart"/>
      <w:r w:rsidRPr="00B7234C">
        <w:t>Целью такого сравнительного анализа являлся выбор оптимальной институциональной модели (возможных моделей) внедрения политики управления предложением доступного жилья  на основе оценка возможности, целесообразности, ограничений при адаптации зарубежных подходов с учетом российской специфики, в частности, ориентации на собственность на жилье, существенной централизации и низкой дифференциации жилищной и градостроительной политики, слабой роли градостроительного регулирования и отсутствия финансовых механизмов управления земельной рентой на местном</w:t>
      </w:r>
      <w:proofErr w:type="gramEnd"/>
      <w:r w:rsidRPr="00B7234C">
        <w:t xml:space="preserve"> </w:t>
      </w:r>
      <w:proofErr w:type="gramStart"/>
      <w:r w:rsidRPr="00B7234C">
        <w:t>уровне</w:t>
      </w:r>
      <w:proofErr w:type="gramEnd"/>
      <w:r w:rsidRPr="00B7234C">
        <w:t>, ограничениями в сфере жилищного финансирования.</w:t>
      </w:r>
    </w:p>
    <w:p w:rsidR="00B7234C" w:rsidRPr="00B7234C" w:rsidRDefault="00B7234C" w:rsidP="00B7234C">
      <w:r w:rsidRPr="00B7234C">
        <w:t>В ходе исследования были получены следующие основные результаты, которые нашли отражение в настоящем материале:</w:t>
      </w:r>
    </w:p>
    <w:p w:rsidR="00B5529A" w:rsidRDefault="00B5529A" w:rsidP="00B7234C">
      <w:r>
        <w:t>1.</w:t>
      </w:r>
      <w:r w:rsidR="00B7234C" w:rsidRPr="00B7234C">
        <w:t xml:space="preserve"> </w:t>
      </w:r>
      <w:r>
        <w:t>О</w:t>
      </w:r>
      <w:r w:rsidR="00B7234C" w:rsidRPr="00B7234C">
        <w:t xml:space="preserve">писание результатов сравнительного анализа и оценки </w:t>
      </w:r>
      <w:r w:rsidR="00B7234C" w:rsidRPr="00B7234C">
        <w:rPr>
          <w:bCs/>
        </w:rPr>
        <w:t>концептуальных подходов к доступному жилью в российской и зарубежной практике</w:t>
      </w:r>
      <w:r w:rsidR="00B7234C" w:rsidRPr="00B7234C">
        <w:t>, включая сравнительный анализ понятия доступного жилья в российской и зарубежной практике и критериев его доступности, а также системы документов, регулирующих предложение доступного жилья, в р</w:t>
      </w:r>
      <w:r>
        <w:t xml:space="preserve">оссийской и зарубежной практике. </w:t>
      </w:r>
    </w:p>
    <w:p w:rsidR="00B7234C" w:rsidRPr="00B7234C" w:rsidRDefault="00B5529A" w:rsidP="00B7234C">
      <w:proofErr w:type="gramStart"/>
      <w:r>
        <w:t>Основным выводом в данной части является то, что р</w:t>
      </w:r>
      <w:r w:rsidRPr="00C4410C">
        <w:rPr>
          <w:rFonts w:cs="Times New Roman"/>
          <w:szCs w:val="28"/>
        </w:rPr>
        <w:t xml:space="preserve">азница </w:t>
      </w:r>
      <w:r>
        <w:rPr>
          <w:rFonts w:cs="Times New Roman"/>
          <w:szCs w:val="28"/>
        </w:rPr>
        <w:t xml:space="preserve">между зарубежным и российским подходами к управлению предложением </w:t>
      </w:r>
      <w:r>
        <w:rPr>
          <w:rFonts w:cs="Times New Roman"/>
          <w:szCs w:val="28"/>
        </w:rPr>
        <w:lastRenderedPageBreak/>
        <w:t xml:space="preserve">доступного жилья лежит не только в области использования разных набор инструментов </w:t>
      </w:r>
      <w:r w:rsidRPr="0041126D">
        <w:rPr>
          <w:rFonts w:cs="Times New Roman"/>
        </w:rPr>
        <w:t>стимулирования увеличения предложения доступного жилья</w:t>
      </w:r>
      <w:r>
        <w:rPr>
          <w:rFonts w:cs="Times New Roman"/>
        </w:rPr>
        <w:t>, но и в разном понимании того, что собой представляет доступное жилье;</w:t>
      </w:r>
      <w:proofErr w:type="gramEnd"/>
    </w:p>
    <w:p w:rsidR="00B7234C" w:rsidRDefault="00B5529A" w:rsidP="00B7234C">
      <w:r>
        <w:t>2.</w:t>
      </w:r>
      <w:r w:rsidR="00B7234C" w:rsidRPr="00B7234C">
        <w:t xml:space="preserve"> </w:t>
      </w:r>
      <w:r>
        <w:t>О</w:t>
      </w:r>
      <w:r w:rsidR="00B7234C" w:rsidRPr="00B7234C">
        <w:t>писание результатов сравнительного анализа и оценки</w:t>
      </w:r>
      <w:r w:rsidR="00B7234C" w:rsidRPr="00B7234C">
        <w:rPr>
          <w:b/>
        </w:rPr>
        <w:t xml:space="preserve"> </w:t>
      </w:r>
      <w:r w:rsidR="00B7234C" w:rsidRPr="00B7234C">
        <w:t>институциональных моделей управления предложением доступного жилья</w:t>
      </w:r>
      <w:r>
        <w:t xml:space="preserve"> в зарубежных странах и России.</w:t>
      </w:r>
    </w:p>
    <w:p w:rsidR="00B5529A" w:rsidRDefault="00B5529A" w:rsidP="00B5529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 разных странах используются разные институциональные модели управления предложением доступного жилья. Однако все эти разные институциональные модели имеют общие положения:</w:t>
      </w:r>
    </w:p>
    <w:p w:rsidR="00B5529A" w:rsidRDefault="00B5529A" w:rsidP="00B5529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центральным приоритетом является поддержка предложения доступного жилья;</w:t>
      </w:r>
    </w:p>
    <w:p w:rsidR="00B5529A" w:rsidRDefault="00B5529A" w:rsidP="00B5529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- в первую очередь, поддерживается предложение наемного доступного жилья;</w:t>
      </w:r>
    </w:p>
    <w:p w:rsidR="00B5529A" w:rsidRPr="00B5529A" w:rsidRDefault="00B5529A" w:rsidP="00B5529A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довольно широко для стимулирования такого предложения </w:t>
      </w:r>
      <w:r w:rsidRPr="00B5529A">
        <w:rPr>
          <w:rFonts w:cs="Times New Roman"/>
          <w:szCs w:val="28"/>
        </w:rPr>
        <w:t>используются инструменты градостроительного регулирования;</w:t>
      </w:r>
    </w:p>
    <w:p w:rsidR="00B5529A" w:rsidRPr="00B5529A" w:rsidRDefault="00B5529A" w:rsidP="00B5529A">
      <w:pPr>
        <w:ind w:firstLine="709"/>
        <w:rPr>
          <w:rFonts w:cs="Times New Roman"/>
          <w:szCs w:val="28"/>
        </w:rPr>
      </w:pPr>
      <w:r w:rsidRPr="00B5529A">
        <w:rPr>
          <w:rFonts w:cs="Times New Roman"/>
          <w:szCs w:val="28"/>
        </w:rPr>
        <w:t xml:space="preserve">- </w:t>
      </w:r>
      <w:r w:rsidRPr="00B5529A">
        <w:rPr>
          <w:rStyle w:val="11pt"/>
          <w:rFonts w:eastAsiaTheme="minorHAnsi"/>
          <w:sz w:val="28"/>
          <w:szCs w:val="28"/>
        </w:rPr>
        <w:t>существенная роль различных некоммерческих организаций (компаний, ассоциаций) в обеспечении необходимого предложения доступного жилья.</w:t>
      </w:r>
    </w:p>
    <w:p w:rsidR="00B5529A" w:rsidRDefault="00B5529A" w:rsidP="00B5529A">
      <w:pPr>
        <w:ind w:firstLine="709"/>
        <w:rPr>
          <w:rFonts w:cs="Times New Roman"/>
        </w:rPr>
      </w:pPr>
      <w:r w:rsidRPr="00B5529A">
        <w:rPr>
          <w:rFonts w:cs="Times New Roman"/>
          <w:szCs w:val="28"/>
        </w:rPr>
        <w:t>Если говорить о российской институциональной</w:t>
      </w:r>
      <w:r>
        <w:rPr>
          <w:rFonts w:cs="Times New Roman"/>
        </w:rPr>
        <w:t xml:space="preserve"> модели управления доступным жильем,  ее специфическими характеристиками являются:</w:t>
      </w:r>
    </w:p>
    <w:p w:rsidR="00B5529A" w:rsidRDefault="00B5529A" w:rsidP="00B5529A">
      <w:pPr>
        <w:ind w:firstLine="709"/>
        <w:rPr>
          <w:rFonts w:cs="Times New Roman"/>
        </w:rPr>
      </w:pPr>
      <w:r>
        <w:rPr>
          <w:rFonts w:cs="Times New Roman"/>
        </w:rPr>
        <w:t>-  существенная централизация и низкая дифференциация жилищной и градостроительной политики;</w:t>
      </w:r>
    </w:p>
    <w:p w:rsidR="00B5529A" w:rsidRDefault="00B5529A" w:rsidP="00B5529A">
      <w:pPr>
        <w:ind w:firstLine="709"/>
        <w:rPr>
          <w:rFonts w:cs="Times New Roman"/>
        </w:rPr>
      </w:pPr>
      <w:r>
        <w:rPr>
          <w:rFonts w:cs="Times New Roman"/>
        </w:rPr>
        <w:t>-  слабая роль градостроительного регулирования;</w:t>
      </w:r>
    </w:p>
    <w:p w:rsidR="00B5529A" w:rsidRDefault="00B5529A" w:rsidP="00B5529A">
      <w:pPr>
        <w:ind w:firstLine="709"/>
        <w:rPr>
          <w:rFonts w:cs="Times New Roman"/>
        </w:rPr>
      </w:pPr>
      <w:r>
        <w:rPr>
          <w:rFonts w:cs="Times New Roman"/>
        </w:rPr>
        <w:t>- отсутствие финансовых механизмов управления земельной рентой на местном уровне;</w:t>
      </w:r>
    </w:p>
    <w:p w:rsidR="00B5529A" w:rsidRPr="00B5529A" w:rsidRDefault="00B5529A" w:rsidP="00B5529A">
      <w:pPr>
        <w:ind w:firstLine="709"/>
        <w:rPr>
          <w:rFonts w:cs="Times New Roman"/>
        </w:rPr>
      </w:pPr>
      <w:r>
        <w:rPr>
          <w:rFonts w:cs="Times New Roman"/>
        </w:rPr>
        <w:t>- ограничения в сфере жилищного финансирования, в том числе незначительная роль некоммерческих организаций (кооперативов) в предложении доступного жилья.</w:t>
      </w:r>
    </w:p>
    <w:p w:rsidR="00765BE2" w:rsidRDefault="00B5529A" w:rsidP="00765BE2">
      <w:pPr>
        <w:ind w:firstLine="709"/>
        <w:rPr>
          <w:rFonts w:cs="Times New Roman"/>
          <w:szCs w:val="28"/>
        </w:rPr>
      </w:pPr>
      <w:r>
        <w:t>3.</w:t>
      </w:r>
      <w:r w:rsidR="00B7234C" w:rsidRPr="00B7234C">
        <w:t xml:space="preserve"> </w:t>
      </w:r>
      <w:r>
        <w:t>О</w:t>
      </w:r>
      <w:r w:rsidR="00B7234C" w:rsidRPr="00B7234C">
        <w:t xml:space="preserve">писание результатов сравнительного анализа и оценки основных инструментов, применяемых для регулирования доступности жилья </w:t>
      </w:r>
      <w:r w:rsidR="00B81127">
        <w:t xml:space="preserve">в </w:t>
      </w:r>
      <w:r w:rsidR="00765BE2">
        <w:lastRenderedPageBreak/>
        <w:t>зарубежных странах и в России</w:t>
      </w:r>
      <w:r w:rsidR="00B81127">
        <w:rPr>
          <w:rFonts w:cs="Times New Roman"/>
          <w:szCs w:val="28"/>
        </w:rPr>
        <w:t>.</w:t>
      </w:r>
      <w:r w:rsidR="006538BA">
        <w:rPr>
          <w:rFonts w:cs="Times New Roman"/>
          <w:szCs w:val="28"/>
        </w:rPr>
        <w:t xml:space="preserve"> </w:t>
      </w:r>
      <w:r w:rsidR="00765BE2">
        <w:rPr>
          <w:rFonts w:cs="Times New Roman"/>
          <w:szCs w:val="28"/>
        </w:rPr>
        <w:t>Хотя в зарубежной практике с целью регулирования доступного жилья может применяться две большие группы экономических инструментов – меры с</w:t>
      </w:r>
      <w:r w:rsidR="00765BE2" w:rsidRPr="00403E6B">
        <w:rPr>
          <w:rFonts w:cs="Times New Roman"/>
          <w:szCs w:val="28"/>
        </w:rPr>
        <w:t>тимулировани</w:t>
      </w:r>
      <w:r w:rsidR="00765BE2">
        <w:rPr>
          <w:rFonts w:cs="Times New Roman"/>
          <w:szCs w:val="28"/>
        </w:rPr>
        <w:t>я</w:t>
      </w:r>
      <w:r w:rsidR="00765BE2" w:rsidRPr="00403E6B">
        <w:rPr>
          <w:rFonts w:cs="Times New Roman"/>
          <w:szCs w:val="28"/>
        </w:rPr>
        <w:t xml:space="preserve"> предложения </w:t>
      </w:r>
      <w:r w:rsidR="00765BE2">
        <w:rPr>
          <w:rFonts w:cs="Times New Roman"/>
          <w:szCs w:val="28"/>
        </w:rPr>
        <w:t xml:space="preserve">доступного жилья на рынке </w:t>
      </w:r>
      <w:r w:rsidR="00765BE2" w:rsidRPr="00403E6B">
        <w:rPr>
          <w:rFonts w:cs="Times New Roman"/>
          <w:szCs w:val="28"/>
        </w:rPr>
        <w:t xml:space="preserve">и </w:t>
      </w:r>
      <w:r w:rsidR="00765BE2">
        <w:rPr>
          <w:rFonts w:cs="Times New Roman"/>
          <w:szCs w:val="28"/>
        </w:rPr>
        <w:t>меры стимулирования</w:t>
      </w:r>
      <w:r w:rsidR="00765BE2" w:rsidRPr="00403E6B">
        <w:rPr>
          <w:rFonts w:cs="Times New Roman"/>
          <w:szCs w:val="28"/>
        </w:rPr>
        <w:t xml:space="preserve"> спроса</w:t>
      </w:r>
      <w:r w:rsidR="00765BE2">
        <w:rPr>
          <w:rFonts w:cs="Times New Roman"/>
          <w:szCs w:val="28"/>
        </w:rPr>
        <w:t xml:space="preserve"> на доступное жилье. Меры стимулирования предложения и спроса на доступное жилье могут применяться одновременно в разных пропорциях, д</w:t>
      </w:r>
      <w:r w:rsidR="00A07382">
        <w:rPr>
          <w:rFonts w:cs="Times New Roman"/>
          <w:szCs w:val="28"/>
        </w:rPr>
        <w:t>ля российской институциональной модели типичен перевес мер стимулирования</w:t>
      </w:r>
      <w:r w:rsidR="00A07382" w:rsidRPr="00403E6B">
        <w:rPr>
          <w:rFonts w:cs="Times New Roman"/>
          <w:szCs w:val="28"/>
        </w:rPr>
        <w:t xml:space="preserve"> спроса</w:t>
      </w:r>
      <w:r w:rsidR="00A07382">
        <w:rPr>
          <w:rFonts w:cs="Times New Roman"/>
          <w:szCs w:val="28"/>
        </w:rPr>
        <w:t xml:space="preserve"> на доступное жилье</w:t>
      </w:r>
      <w:r w:rsidR="00765BE2">
        <w:rPr>
          <w:rFonts w:cs="Times New Roman"/>
          <w:szCs w:val="28"/>
        </w:rPr>
        <w:t>. В России перечень применяемых мер</w:t>
      </w:r>
      <w:r w:rsidR="00765BE2" w:rsidRPr="008F0EFB">
        <w:rPr>
          <w:rFonts w:cs="Times New Roman"/>
          <w:szCs w:val="28"/>
        </w:rPr>
        <w:t xml:space="preserve"> стимулирования предложения доступного жилья и мер стимулирования спроса на доступное жилье</w:t>
      </w:r>
      <w:r w:rsidR="00765BE2">
        <w:rPr>
          <w:rFonts w:cs="Times New Roman"/>
          <w:szCs w:val="28"/>
        </w:rPr>
        <w:t xml:space="preserve"> весьма узок, с явным перевесом мер стимулирования спроса на доступное жилье, приобретаемое в собственность граждан. Меры стимулирования спроса или предложения для наемного доступного жилья практически не используются.</w:t>
      </w:r>
    </w:p>
    <w:p w:rsidR="00B7234C" w:rsidRDefault="00B7234C" w:rsidP="00B7234C">
      <w:r w:rsidRPr="00B7234C">
        <w:t>4</w:t>
      </w:r>
      <w:r w:rsidR="00B5529A">
        <w:t>.</w:t>
      </w:r>
      <w:r w:rsidRPr="00B7234C">
        <w:t xml:space="preserve"> </w:t>
      </w:r>
      <w:r w:rsidR="00B5529A">
        <w:t>О</w:t>
      </w:r>
      <w:r w:rsidRPr="00B7234C">
        <w:t>писание результатов анализа и оценки основных инструментов, применяемых для регулирования доступности жилья в субъектах Российской Федерации.</w:t>
      </w:r>
    </w:p>
    <w:p w:rsidR="00DB4CC6" w:rsidRDefault="00DB4CC6" w:rsidP="00DB4CC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Первый вывод, который можно сделать на основании приведенных данных: большинство регионов (от всех до половины</w:t>
      </w:r>
      <w:r w:rsidRPr="00B66FA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исследованных регионов) используют всего несколько инструментов повышения доступности жилья:</w:t>
      </w:r>
    </w:p>
    <w:p w:rsidR="00DB4CC6" w:rsidRDefault="00DB4CC6" w:rsidP="00DB4CC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1) прямое финансирование льготных категорий граждан за счет средств бюджетов или предоставления жилья в натурной форме;</w:t>
      </w:r>
    </w:p>
    <w:p w:rsidR="00DB4CC6" w:rsidRDefault="00DB4CC6" w:rsidP="00DB4CC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2) строительство за счет бюджетных средств инженерной, социальной и транспортной инфраструктуры в районах жилой застройки;</w:t>
      </w:r>
    </w:p>
    <w:p w:rsidR="00DB4CC6" w:rsidRDefault="00DB4CC6" w:rsidP="00DB4CC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3) государственное субсидирование ипотечного кредитования граждан;</w:t>
      </w:r>
    </w:p>
    <w:p w:rsidR="00DB4CC6" w:rsidRDefault="00DB4CC6" w:rsidP="00DB4CC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4) предоставление земельных участков для жилой застройки на льготных условиях.</w:t>
      </w:r>
    </w:p>
    <w:p w:rsidR="00DB4CC6" w:rsidRDefault="00DB4CC6" w:rsidP="00B7234C"/>
    <w:p w:rsidR="00B7234C" w:rsidRDefault="00B7234C" w:rsidP="00B7234C">
      <w:pPr>
        <w:rPr>
          <w:rFonts w:cs="Times New Roman"/>
          <w:szCs w:val="28"/>
        </w:rPr>
      </w:pPr>
      <w:r w:rsidRPr="00B7234C">
        <w:t>На основании вышеперечисленных результатов исследования сделаны краткие концептуальные предложения в части разв</w:t>
      </w:r>
      <w:r>
        <w:t xml:space="preserve">ития доступного жилья в </w:t>
      </w:r>
      <w:r>
        <w:lastRenderedPageBreak/>
        <w:t xml:space="preserve">России, наиболее </w:t>
      </w:r>
      <w:r>
        <w:rPr>
          <w:rFonts w:cs="Times New Roman"/>
          <w:szCs w:val="28"/>
        </w:rPr>
        <w:t>актуальными из которых являются следующие инициативы:</w:t>
      </w:r>
    </w:p>
    <w:p w:rsidR="00B7234C" w:rsidRPr="00200D75" w:rsidRDefault="00B7234C" w:rsidP="00B7234C">
      <w:pPr>
        <w:numPr>
          <w:ilvl w:val="0"/>
          <w:numId w:val="1"/>
        </w:num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Pr="00200D75">
        <w:rPr>
          <w:rFonts w:cs="Times New Roman"/>
          <w:szCs w:val="28"/>
        </w:rPr>
        <w:t>онцептуально определиться с понятием «доступное жилье» с учетом его ценовой доступности для семей с невысокими и низкими доходами и формы владения (долгосрочный наем жилья)</w:t>
      </w:r>
    </w:p>
    <w:p w:rsidR="00B7234C" w:rsidRPr="00200D75" w:rsidRDefault="00B7234C" w:rsidP="00B7234C">
      <w:pPr>
        <w:numPr>
          <w:ilvl w:val="0"/>
          <w:numId w:val="1"/>
        </w:num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200D75">
        <w:rPr>
          <w:rFonts w:cs="Times New Roman"/>
          <w:szCs w:val="28"/>
        </w:rPr>
        <w:t xml:space="preserve"> рамках жилищной политики по развитию арендного жилья выделение специального приоритета – поддержка доступного наемного жилья (по договору социального найма без права приватизации, наемных домов социального использования и др.)</w:t>
      </w:r>
    </w:p>
    <w:p w:rsidR="00B7234C" w:rsidRPr="003A7D5D" w:rsidRDefault="00B7234C" w:rsidP="00B7234C">
      <w:pPr>
        <w:numPr>
          <w:ilvl w:val="0"/>
          <w:numId w:val="1"/>
        </w:num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200D75">
        <w:rPr>
          <w:rFonts w:cs="Times New Roman"/>
          <w:szCs w:val="28"/>
        </w:rPr>
        <w:t xml:space="preserve">овышение эффективности использования ограниченных бюджетных средств на субсидирование доступности жилья – повышение доли </w:t>
      </w:r>
      <w:r w:rsidRPr="003A7D5D">
        <w:rPr>
          <w:rFonts w:cs="Times New Roman"/>
          <w:szCs w:val="28"/>
        </w:rPr>
        <w:t>средств на поддержку семей с невысокими и низкими доходами (ниже медианного уровня)</w:t>
      </w:r>
    </w:p>
    <w:p w:rsidR="006866BF" w:rsidRDefault="00B7234C" w:rsidP="00B7234C">
      <w:pPr>
        <w:numPr>
          <w:ilvl w:val="0"/>
          <w:numId w:val="1"/>
        </w:num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Pr="003A7D5D">
        <w:rPr>
          <w:rFonts w:cs="Times New Roman"/>
          <w:szCs w:val="28"/>
        </w:rPr>
        <w:t>альнейшее развитие инструментов градостроительного регулирования в целях реализации жилищной политики, в том числе создания доступного жилья, внедрение методов градостроительного  стимулирования застройщиков по созданию доступного жилья (учет негативного опыта реализации программы «Жилье для российских семей»)</w:t>
      </w:r>
    </w:p>
    <w:p w:rsidR="00B7234C" w:rsidRPr="006866BF" w:rsidRDefault="00B7234C" w:rsidP="00B7234C">
      <w:pPr>
        <w:numPr>
          <w:ilvl w:val="0"/>
          <w:numId w:val="1"/>
        </w:numPr>
        <w:ind w:firstLine="709"/>
        <w:rPr>
          <w:rFonts w:cs="Times New Roman"/>
          <w:szCs w:val="28"/>
        </w:rPr>
      </w:pPr>
      <w:r w:rsidRPr="006866BF">
        <w:rPr>
          <w:rFonts w:cs="Times New Roman"/>
          <w:szCs w:val="28"/>
        </w:rPr>
        <w:t>предоставление муниципалитетам больше полномочий в сфере градостроительства и создания доступного жилья, в том числе права получать часть земельной ренты в форме специальных сборов/взносов (на развитие инфраструктуры, на получение разрешения на строительства или иных).</w:t>
      </w:r>
    </w:p>
    <w:sectPr w:rsidR="00B7234C" w:rsidRPr="0068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D4FAA"/>
    <w:multiLevelType w:val="hybridMultilevel"/>
    <w:tmpl w:val="CC8817A2"/>
    <w:lvl w:ilvl="0" w:tplc="09D2FD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C642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C5F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A06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4A2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D234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E24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EC4E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BA06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52"/>
    <w:rsid w:val="00082FEF"/>
    <w:rsid w:val="000A1F74"/>
    <w:rsid w:val="00256752"/>
    <w:rsid w:val="006538BA"/>
    <w:rsid w:val="006866BF"/>
    <w:rsid w:val="00765BE2"/>
    <w:rsid w:val="00826645"/>
    <w:rsid w:val="00A07382"/>
    <w:rsid w:val="00B5529A"/>
    <w:rsid w:val="00B7234C"/>
    <w:rsid w:val="00B81127"/>
    <w:rsid w:val="00CB0D89"/>
    <w:rsid w:val="00DB4CC6"/>
    <w:rsid w:val="00F6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29A"/>
    <w:pPr>
      <w:ind w:left="720"/>
      <w:contextualSpacing/>
    </w:pPr>
  </w:style>
  <w:style w:type="character" w:customStyle="1" w:styleId="11pt">
    <w:name w:val="Основной текст + 11 pt"/>
    <w:basedOn w:val="a0"/>
    <w:rsid w:val="00B5529A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29A"/>
    <w:pPr>
      <w:ind w:left="720"/>
      <w:contextualSpacing/>
    </w:pPr>
  </w:style>
  <w:style w:type="character" w:customStyle="1" w:styleId="11pt">
    <w:name w:val="Основной текст + 11 pt"/>
    <w:basedOn w:val="a0"/>
    <w:rsid w:val="00B5529A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Байкова</dc:creator>
  <cp:lastModifiedBy>Аля В. Лифанова</cp:lastModifiedBy>
  <cp:revision>2</cp:revision>
  <dcterms:created xsi:type="dcterms:W3CDTF">2019-04-11T14:03:00Z</dcterms:created>
  <dcterms:modified xsi:type="dcterms:W3CDTF">2019-04-11T14:03:00Z</dcterms:modified>
</cp:coreProperties>
</file>